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EF" w:rsidRDefault="005A32EF" w:rsidP="005A32EF">
      <w:pPr>
        <w:spacing w:line="576" w:lineRule="exact"/>
        <w:jc w:val="center"/>
        <w:rPr>
          <w:rFonts w:ascii="黑体" w:eastAsia="黑体" w:hAnsi="黑体" w:hint="eastAsia"/>
          <w:sz w:val="44"/>
          <w:szCs w:val="44"/>
        </w:rPr>
      </w:pPr>
    </w:p>
    <w:p w:rsidR="005A32EF" w:rsidRDefault="005A32EF" w:rsidP="005A32EF">
      <w:pPr>
        <w:spacing w:line="576" w:lineRule="exact"/>
        <w:jc w:val="center"/>
        <w:rPr>
          <w:rFonts w:ascii="黑体" w:eastAsia="黑体" w:hAnsi="黑体" w:hint="eastAsia"/>
          <w:sz w:val="44"/>
          <w:szCs w:val="44"/>
        </w:rPr>
      </w:pPr>
    </w:p>
    <w:p w:rsidR="005A32EF" w:rsidRDefault="005A32EF" w:rsidP="005A32EF">
      <w:pPr>
        <w:spacing w:line="576" w:lineRule="exact"/>
        <w:jc w:val="center"/>
        <w:rPr>
          <w:rFonts w:ascii="黑体" w:eastAsia="黑体" w:hAnsi="黑体" w:hint="eastAsia"/>
          <w:sz w:val="44"/>
          <w:szCs w:val="44"/>
        </w:rPr>
      </w:pPr>
    </w:p>
    <w:p w:rsidR="005A32EF" w:rsidRDefault="005A32EF" w:rsidP="005A32EF">
      <w:pPr>
        <w:spacing w:line="576" w:lineRule="exact"/>
        <w:jc w:val="center"/>
        <w:rPr>
          <w:rFonts w:ascii="黑体" w:eastAsia="黑体" w:hAnsi="黑体" w:hint="eastAsia"/>
          <w:sz w:val="44"/>
          <w:szCs w:val="44"/>
        </w:rPr>
      </w:pPr>
    </w:p>
    <w:p w:rsidR="005A32EF" w:rsidRPr="005A32EF" w:rsidRDefault="005A32EF" w:rsidP="005A32EF">
      <w:pPr>
        <w:spacing w:line="576" w:lineRule="exact"/>
        <w:jc w:val="center"/>
        <w:rPr>
          <w:rFonts w:ascii="方正小标宋简体" w:eastAsia="方正小标宋简体" w:hint="eastAsia"/>
          <w:sz w:val="52"/>
          <w:szCs w:val="52"/>
        </w:rPr>
      </w:pPr>
      <w:r w:rsidRPr="005A32EF">
        <w:rPr>
          <w:rFonts w:ascii="黑体" w:eastAsia="黑体" w:hAnsi="黑体" w:hint="eastAsia"/>
          <w:sz w:val="52"/>
          <w:szCs w:val="52"/>
        </w:rPr>
        <w:t>2019</w:t>
      </w:r>
      <w:r w:rsidRPr="005A32EF">
        <w:rPr>
          <w:rFonts w:ascii="方正小标宋简体" w:eastAsia="方正小标宋简体" w:hint="eastAsia"/>
          <w:sz w:val="52"/>
          <w:szCs w:val="52"/>
        </w:rPr>
        <w:t>年度</w:t>
      </w:r>
    </w:p>
    <w:p w:rsidR="005A32EF" w:rsidRPr="005A32EF" w:rsidRDefault="00127372" w:rsidP="005A32EF">
      <w:pPr>
        <w:spacing w:line="576" w:lineRule="exact"/>
        <w:jc w:val="center"/>
        <w:rPr>
          <w:rFonts w:ascii="方正小标宋简体" w:eastAsia="方正小标宋简体" w:hint="eastAsia"/>
          <w:sz w:val="52"/>
          <w:szCs w:val="52"/>
        </w:rPr>
      </w:pPr>
      <w:r w:rsidRPr="005A32EF">
        <w:rPr>
          <w:rFonts w:ascii="方正小标宋简体" w:eastAsia="方正小标宋简体" w:hint="eastAsia"/>
          <w:w w:val="95"/>
          <w:sz w:val="52"/>
          <w:szCs w:val="52"/>
        </w:rPr>
        <w:t>广元市重点建设项目事务中心</w:t>
      </w:r>
      <w:r w:rsidR="00C72ADE" w:rsidRPr="005A32EF">
        <w:rPr>
          <w:rFonts w:ascii="方正小标宋简体" w:eastAsia="方正小标宋简体" w:hint="eastAsia"/>
          <w:sz w:val="52"/>
          <w:szCs w:val="52"/>
        </w:rPr>
        <w:t>中心</w:t>
      </w:r>
    </w:p>
    <w:p w:rsidR="00C72ADE" w:rsidRPr="005A32EF" w:rsidRDefault="00C72ADE" w:rsidP="005A32EF">
      <w:pPr>
        <w:spacing w:line="576" w:lineRule="exact"/>
        <w:jc w:val="center"/>
        <w:rPr>
          <w:rFonts w:ascii="方正小标宋简体" w:eastAsia="方正小标宋简体"/>
          <w:w w:val="95"/>
          <w:sz w:val="52"/>
          <w:szCs w:val="52"/>
        </w:rPr>
      </w:pPr>
      <w:r w:rsidRPr="005A32EF">
        <w:rPr>
          <w:rFonts w:ascii="方正小标宋简体" w:eastAsia="方正小标宋简体" w:hint="eastAsia"/>
          <w:sz w:val="52"/>
          <w:szCs w:val="52"/>
        </w:rPr>
        <w:t>决算编制说明</w:t>
      </w:r>
    </w:p>
    <w:p w:rsidR="00C72ADE" w:rsidRDefault="00C72ADE" w:rsidP="00C72ADE"/>
    <w:p w:rsidR="00C72ADE" w:rsidRPr="00C72ADE" w:rsidRDefault="00C72ADE" w:rsidP="00C72ADE"/>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5A32EF" w:rsidP="00C72ADE">
      <w:pPr>
        <w:pStyle w:val="10"/>
        <w:tabs>
          <w:tab w:val="clear" w:pos="8296"/>
          <w:tab w:val="right" w:leader="dot" w:pos="8306"/>
        </w:tabs>
        <w:jc w:val="both"/>
        <w:rPr>
          <w:rFonts w:ascii="黑体" w:eastAsia="黑体" w:hAnsi="黑体" w:hint="eastAsia"/>
          <w:sz w:val="32"/>
          <w:szCs w:val="32"/>
        </w:rPr>
      </w:pPr>
    </w:p>
    <w:p w:rsidR="005A32EF" w:rsidRDefault="00C72ADE" w:rsidP="005A32EF">
      <w:pPr>
        <w:pStyle w:val="10"/>
        <w:tabs>
          <w:tab w:val="clear" w:pos="8296"/>
          <w:tab w:val="right" w:leader="dot" w:pos="8306"/>
        </w:tabs>
        <w:rPr>
          <w:rFonts w:hint="eastAsia"/>
        </w:rPr>
      </w:pPr>
      <w:r w:rsidRPr="00C72ADE">
        <w:rPr>
          <w:rFonts w:ascii="黑体" w:eastAsia="黑体" w:hAnsi="黑体"/>
          <w:sz w:val="32"/>
          <w:szCs w:val="32"/>
        </w:rPr>
        <w:t>目录</w:t>
      </w:r>
    </w:p>
    <w:p w:rsidR="00C72ADE" w:rsidRPr="00C72ADE" w:rsidRDefault="00277C1E" w:rsidP="005A32EF">
      <w:pPr>
        <w:pStyle w:val="10"/>
        <w:tabs>
          <w:tab w:val="clear" w:pos="8296"/>
          <w:tab w:val="right" w:leader="dot" w:pos="8306"/>
        </w:tabs>
        <w:jc w:val="both"/>
        <w:rPr>
          <w:rFonts w:ascii="黑体" w:eastAsia="黑体" w:hAnsi="黑体"/>
        </w:rPr>
      </w:pPr>
      <w:r w:rsidRPr="00277C1E">
        <w:fldChar w:fldCharType="begin"/>
      </w:r>
      <w:r w:rsidR="00C72ADE">
        <w:instrText xml:space="preserve">TOC \o "1-3" \h \u </w:instrText>
      </w:r>
      <w:r w:rsidRPr="00277C1E">
        <w:fldChar w:fldCharType="separate"/>
      </w:r>
      <w:hyperlink w:anchor="_Toc635241525" w:history="1">
        <w:r w:rsidR="00C72ADE" w:rsidRPr="00C72ADE">
          <w:rPr>
            <w:rFonts w:ascii="黑体" w:eastAsia="黑体" w:hAnsi="黑体" w:hint="eastAsia"/>
          </w:rPr>
          <w:t>第一部分 部门概况</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_Toc635241525 </w:instrText>
        </w:r>
        <w:r w:rsidRPr="00C72ADE">
          <w:rPr>
            <w:rFonts w:ascii="黑体" w:eastAsia="黑体" w:hAnsi="黑体"/>
          </w:rPr>
          <w:fldChar w:fldCharType="separate"/>
        </w:r>
        <w:r w:rsidR="00C72ADE" w:rsidRPr="00C72ADE">
          <w:rPr>
            <w:rFonts w:ascii="黑体" w:eastAsia="黑体" w:hAnsi="黑体"/>
          </w:rPr>
          <w:t>2</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916516614" w:history="1">
        <w:r w:rsidR="00C72ADE" w:rsidRPr="00C72ADE">
          <w:rPr>
            <w:rFonts w:ascii="黑体" w:eastAsia="黑体" w:hAnsi="黑体" w:hint="eastAsia"/>
          </w:rPr>
          <w:t>一、基本职能及主要工作</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_Toc916516614 </w:instrText>
        </w:r>
        <w:r w:rsidRPr="00C72ADE">
          <w:rPr>
            <w:rFonts w:ascii="黑体" w:eastAsia="黑体" w:hAnsi="黑体"/>
          </w:rPr>
          <w:fldChar w:fldCharType="separate"/>
        </w:r>
        <w:r w:rsidR="00C72ADE" w:rsidRPr="00C72ADE">
          <w:rPr>
            <w:rFonts w:ascii="黑体" w:eastAsia="黑体" w:hAnsi="黑体"/>
          </w:rPr>
          <w:t>2</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2049110975" w:history="1">
        <w:r w:rsidR="00C72ADE" w:rsidRPr="00C72ADE">
          <w:rPr>
            <w:rFonts w:ascii="黑体" w:eastAsia="黑体" w:hAnsi="黑体" w:hint="eastAsia"/>
          </w:rPr>
          <w:t>二、机构设置</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_Toc2049110975 </w:instrText>
        </w:r>
        <w:r w:rsidRPr="00C72ADE">
          <w:rPr>
            <w:rFonts w:ascii="黑体" w:eastAsia="黑体" w:hAnsi="黑体"/>
          </w:rPr>
          <w:fldChar w:fldCharType="separate"/>
        </w:r>
        <w:r w:rsidR="00C72ADE" w:rsidRPr="00C72ADE">
          <w:rPr>
            <w:rFonts w:ascii="黑体" w:eastAsia="黑体" w:hAnsi="黑体"/>
          </w:rPr>
          <w:t>3</w:t>
        </w:r>
        <w:r w:rsidRPr="00C72ADE">
          <w:rPr>
            <w:rFonts w:ascii="黑体" w:eastAsia="黑体" w:hAnsi="黑体"/>
          </w:rPr>
          <w:fldChar w:fldCharType="end"/>
        </w:r>
      </w:hyperlink>
    </w:p>
    <w:p w:rsidR="00C72ADE" w:rsidRPr="00C72ADE" w:rsidRDefault="00277C1E" w:rsidP="00C72ADE">
      <w:pPr>
        <w:pStyle w:val="10"/>
        <w:tabs>
          <w:tab w:val="clear" w:pos="8296"/>
          <w:tab w:val="right" w:leader="dot" w:pos="8306"/>
        </w:tabs>
        <w:jc w:val="both"/>
        <w:rPr>
          <w:rFonts w:ascii="黑体" w:eastAsia="黑体" w:hAnsi="黑体"/>
        </w:rPr>
      </w:pPr>
      <w:hyperlink w:anchor="_Toc135715073" w:history="1">
        <w:r w:rsidR="00C72ADE" w:rsidRPr="00C72ADE">
          <w:rPr>
            <w:rFonts w:ascii="黑体" w:eastAsia="黑体" w:hAnsi="黑体" w:hint="eastAsia"/>
          </w:rPr>
          <w:t>第二部分 2019年度部门决算情况说明</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_Toc135715073 </w:instrText>
        </w:r>
        <w:r w:rsidRPr="00C72ADE">
          <w:rPr>
            <w:rFonts w:ascii="黑体" w:eastAsia="黑体" w:hAnsi="黑体"/>
          </w:rPr>
          <w:fldChar w:fldCharType="separate"/>
        </w:r>
        <w:r w:rsidR="00C72ADE" w:rsidRPr="00C72ADE">
          <w:rPr>
            <w:rFonts w:ascii="黑体" w:eastAsia="黑体" w:hAnsi="黑体"/>
          </w:rPr>
          <w:t>4</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385735639" w:history="1">
        <w:r w:rsidR="00C72ADE" w:rsidRPr="00C72ADE">
          <w:rPr>
            <w:rFonts w:ascii="黑体" w:eastAsia="黑体" w:hAnsi="黑体"/>
          </w:rPr>
          <w:t xml:space="preserve">一、 </w:t>
        </w:r>
        <w:r w:rsidR="00C72ADE" w:rsidRPr="00C72ADE">
          <w:rPr>
            <w:rFonts w:ascii="黑体" w:eastAsia="黑体" w:hAnsi="黑体" w:hint="eastAsia"/>
            <w:szCs w:val="32"/>
          </w:rPr>
          <w:t>收</w:t>
        </w:r>
        <w:r w:rsidR="00C72ADE" w:rsidRPr="00C72ADE">
          <w:rPr>
            <w:rFonts w:ascii="黑体" w:eastAsia="黑体" w:hAnsi="黑体" w:hint="eastAsia"/>
          </w:rPr>
          <w:t>入支出决算总体情况说明</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_Toc385735639 </w:instrText>
        </w:r>
        <w:r w:rsidRPr="00C72ADE">
          <w:rPr>
            <w:rFonts w:ascii="黑体" w:eastAsia="黑体" w:hAnsi="黑体"/>
          </w:rPr>
          <w:fldChar w:fldCharType="separate"/>
        </w:r>
        <w:r w:rsidR="00C72ADE" w:rsidRPr="00C72ADE">
          <w:rPr>
            <w:rFonts w:ascii="黑体" w:eastAsia="黑体" w:hAnsi="黑体"/>
          </w:rPr>
          <w:t>4</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380412443" w:history="1">
        <w:r w:rsidR="00C72ADE" w:rsidRPr="00C72ADE">
          <w:rPr>
            <w:rFonts w:ascii="黑体" w:eastAsia="黑体" w:hAnsi="黑体"/>
          </w:rPr>
          <w:t xml:space="preserve">二、 </w:t>
        </w:r>
        <w:r w:rsidR="00C72ADE" w:rsidRPr="00C72ADE">
          <w:rPr>
            <w:rFonts w:ascii="黑体" w:eastAsia="黑体" w:hAnsi="黑体" w:hint="eastAsia"/>
            <w:szCs w:val="32"/>
          </w:rPr>
          <w:t>收</w:t>
        </w:r>
        <w:r w:rsidR="00C72ADE" w:rsidRPr="00C72ADE">
          <w:rPr>
            <w:rFonts w:ascii="黑体" w:eastAsia="黑体" w:hAnsi="黑体" w:hint="eastAsia"/>
          </w:rPr>
          <w:t>入决算情况说明</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_Toc1380412443 </w:instrText>
        </w:r>
        <w:r w:rsidRPr="00C72ADE">
          <w:rPr>
            <w:rFonts w:ascii="黑体" w:eastAsia="黑体" w:hAnsi="黑体"/>
          </w:rPr>
          <w:fldChar w:fldCharType="separate"/>
        </w:r>
        <w:r w:rsidR="00C72ADE" w:rsidRPr="00C72ADE">
          <w:rPr>
            <w:rFonts w:ascii="黑体" w:eastAsia="黑体" w:hAnsi="黑体"/>
          </w:rPr>
          <w:t>4</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41198704" w:history="1">
        <w:r w:rsidR="00C72ADE" w:rsidRPr="00C72ADE">
          <w:rPr>
            <w:rFonts w:ascii="黑体" w:eastAsia="黑体" w:hAnsi="黑体"/>
          </w:rPr>
          <w:t xml:space="preserve">三、 </w:t>
        </w:r>
        <w:r w:rsidR="00C72ADE" w:rsidRPr="00C72ADE">
          <w:rPr>
            <w:rFonts w:ascii="黑体" w:eastAsia="黑体" w:hAnsi="黑体" w:hint="eastAsia"/>
            <w:szCs w:val="32"/>
          </w:rPr>
          <w:t>支</w:t>
        </w:r>
        <w:r w:rsidR="00C72ADE" w:rsidRPr="00C72ADE">
          <w:rPr>
            <w:rFonts w:ascii="黑体" w:eastAsia="黑体" w:hAnsi="黑体" w:hint="eastAsia"/>
          </w:rPr>
          <w:t>出决算情况说明</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_Toc141198704 </w:instrText>
        </w:r>
        <w:r w:rsidRPr="00C72ADE">
          <w:rPr>
            <w:rFonts w:ascii="黑体" w:eastAsia="黑体" w:hAnsi="黑体"/>
          </w:rPr>
          <w:fldChar w:fldCharType="separate"/>
        </w:r>
        <w:r w:rsidR="00C72ADE" w:rsidRPr="00C72ADE">
          <w:rPr>
            <w:rFonts w:ascii="黑体" w:eastAsia="黑体" w:hAnsi="黑体"/>
          </w:rPr>
          <w:t>4</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401826798" w:history="1">
        <w:r w:rsidR="00C72ADE" w:rsidRPr="00C72ADE">
          <w:rPr>
            <w:rFonts w:ascii="黑体" w:eastAsia="黑体" w:hAnsi="黑体" w:hint="eastAsia"/>
            <w:szCs w:val="32"/>
          </w:rPr>
          <w:t>四、财</w:t>
        </w:r>
        <w:r w:rsidR="00C72ADE" w:rsidRPr="00C72ADE">
          <w:rPr>
            <w:rFonts w:ascii="黑体" w:eastAsia="黑体" w:hAnsi="黑体" w:hint="eastAsia"/>
          </w:rPr>
          <w:t>政拨款收入支出决算总体情况说明</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_Toc401826798 </w:instrText>
        </w:r>
        <w:r w:rsidRPr="00C72ADE">
          <w:rPr>
            <w:rFonts w:ascii="黑体" w:eastAsia="黑体" w:hAnsi="黑体"/>
          </w:rPr>
          <w:fldChar w:fldCharType="separate"/>
        </w:r>
        <w:r w:rsidR="00C72ADE" w:rsidRPr="00C72ADE">
          <w:rPr>
            <w:rFonts w:ascii="黑体" w:eastAsia="黑体" w:hAnsi="黑体"/>
          </w:rPr>
          <w:t>4</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051521485" w:history="1">
        <w:r w:rsidR="00C72ADE" w:rsidRPr="00C72ADE">
          <w:rPr>
            <w:rFonts w:ascii="黑体" w:eastAsia="黑体" w:hAnsi="黑体" w:hint="eastAsia"/>
            <w:szCs w:val="32"/>
          </w:rPr>
          <w:t>五、一</w:t>
        </w:r>
        <w:r w:rsidR="00C72ADE" w:rsidRPr="00C72ADE">
          <w:rPr>
            <w:rFonts w:ascii="黑体" w:eastAsia="黑体" w:hAnsi="黑体" w:hint="eastAsia"/>
          </w:rPr>
          <w:t>般公共预算财政拨款支出决算情况说明</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_Toc1051521485 </w:instrText>
        </w:r>
        <w:r w:rsidRPr="00C72ADE">
          <w:rPr>
            <w:rFonts w:ascii="黑体" w:eastAsia="黑体" w:hAnsi="黑体"/>
          </w:rPr>
          <w:fldChar w:fldCharType="separate"/>
        </w:r>
        <w:r w:rsidR="00C72ADE" w:rsidRPr="00C72ADE">
          <w:rPr>
            <w:rFonts w:ascii="黑体" w:eastAsia="黑体" w:hAnsi="黑体"/>
          </w:rPr>
          <w:t>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839904179" w:history="1">
        <w:r w:rsidR="00C72ADE" w:rsidRPr="00C72ADE">
          <w:rPr>
            <w:rFonts w:ascii="黑体" w:eastAsia="黑体" w:hAnsi="黑体" w:hint="eastAsia"/>
            <w:szCs w:val="32"/>
          </w:rPr>
          <w:t>六、一</w:t>
        </w:r>
        <w:r w:rsidR="00C72ADE" w:rsidRPr="00C72ADE">
          <w:rPr>
            <w:rFonts w:ascii="黑体" w:eastAsia="黑体" w:hAnsi="黑体" w:hint="eastAsia"/>
          </w:rPr>
          <w:t>般公共预算财政拨款基本支出决算情况说明</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_Toc1839904179 </w:instrText>
        </w:r>
        <w:r w:rsidRPr="00C72ADE">
          <w:rPr>
            <w:rFonts w:ascii="黑体" w:eastAsia="黑体" w:hAnsi="黑体"/>
          </w:rPr>
          <w:fldChar w:fldCharType="separate"/>
        </w:r>
        <w:r w:rsidR="00C72ADE" w:rsidRPr="00C72ADE">
          <w:rPr>
            <w:rFonts w:ascii="黑体" w:eastAsia="黑体" w:hAnsi="黑体"/>
          </w:rPr>
          <w:t>6</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593190405" w:history="1">
        <w:r w:rsidR="00C72ADE" w:rsidRPr="00C72ADE">
          <w:rPr>
            <w:rFonts w:ascii="黑体" w:eastAsia="黑体" w:hAnsi="黑体" w:hint="eastAsia"/>
            <w:szCs w:val="32"/>
          </w:rPr>
          <w:t>七、</w:t>
        </w:r>
        <w:r w:rsidR="00C72ADE" w:rsidRPr="00C72ADE">
          <w:rPr>
            <w:rFonts w:ascii="黑体" w:eastAsia="黑体" w:hAnsi="黑体" w:hint="eastAsia"/>
          </w:rPr>
          <w:t>“三公”经费财政拨款支出决算情况说明</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_Toc1593190405 </w:instrText>
        </w:r>
        <w:r w:rsidRPr="00C72ADE">
          <w:rPr>
            <w:rFonts w:ascii="黑体" w:eastAsia="黑体" w:hAnsi="黑体"/>
          </w:rPr>
          <w:fldChar w:fldCharType="separate"/>
        </w:r>
        <w:r w:rsidR="00C72ADE" w:rsidRPr="00C72ADE">
          <w:rPr>
            <w:rFonts w:ascii="黑体" w:eastAsia="黑体" w:hAnsi="黑体"/>
          </w:rPr>
          <w:t>7</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756343707" w:history="1">
        <w:r w:rsidR="00C72ADE" w:rsidRPr="00C72ADE">
          <w:rPr>
            <w:rFonts w:ascii="黑体" w:eastAsia="黑体" w:hAnsi="黑体" w:hint="eastAsia"/>
            <w:szCs w:val="32"/>
          </w:rPr>
          <w:t>八、</w:t>
        </w:r>
        <w:r w:rsidR="00C72ADE" w:rsidRPr="00C72ADE">
          <w:rPr>
            <w:rFonts w:ascii="黑体" w:eastAsia="黑体" w:hAnsi="黑体" w:hint="eastAsia"/>
          </w:rPr>
          <w:t>政府性基金预算支出决算情况说明</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_Toc756343707 </w:instrText>
        </w:r>
        <w:r w:rsidRPr="00C72ADE">
          <w:rPr>
            <w:rFonts w:ascii="黑体" w:eastAsia="黑体" w:hAnsi="黑体"/>
          </w:rPr>
          <w:fldChar w:fldCharType="separate"/>
        </w:r>
        <w:r w:rsidR="00C72ADE" w:rsidRPr="00C72ADE">
          <w:rPr>
            <w:rFonts w:ascii="黑体" w:eastAsia="黑体" w:hAnsi="黑体"/>
          </w:rPr>
          <w:t>8</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573668395" w:history="1">
        <w:r w:rsidR="00C72ADE" w:rsidRPr="00C72ADE">
          <w:rPr>
            <w:rFonts w:ascii="黑体" w:eastAsia="黑体" w:hAnsi="黑体" w:hint="eastAsia"/>
          </w:rPr>
          <w:t>九、 国有资本经营预算支出决算情况说明</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_Toc1573668395 </w:instrText>
        </w:r>
        <w:r w:rsidRPr="00C72ADE">
          <w:rPr>
            <w:rFonts w:ascii="黑体" w:eastAsia="黑体" w:hAnsi="黑体"/>
          </w:rPr>
          <w:fldChar w:fldCharType="separate"/>
        </w:r>
        <w:r w:rsidR="00C72ADE" w:rsidRPr="00C72ADE">
          <w:rPr>
            <w:rFonts w:ascii="黑体" w:eastAsia="黑体" w:hAnsi="黑体"/>
          </w:rPr>
          <w:t>8</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954023274" w:history="1">
        <w:r w:rsidR="00C72ADE" w:rsidRPr="00C72ADE">
          <w:rPr>
            <w:rFonts w:ascii="黑体" w:eastAsia="黑体" w:hAnsi="黑体" w:hint="eastAsia"/>
            <w:szCs w:val="32"/>
          </w:rPr>
          <w:t>十</w:t>
        </w:r>
        <w:r w:rsidR="00C72ADE" w:rsidRPr="00C72ADE">
          <w:rPr>
            <w:rFonts w:ascii="黑体" w:eastAsia="黑体" w:hAnsi="黑体" w:hint="eastAsia"/>
          </w:rPr>
          <w:t>、其他重要事项的情况说明</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_Toc1954023274 </w:instrText>
        </w:r>
        <w:r w:rsidRPr="00C72ADE">
          <w:rPr>
            <w:rFonts w:ascii="黑体" w:eastAsia="黑体" w:hAnsi="黑体"/>
          </w:rPr>
          <w:fldChar w:fldCharType="separate"/>
        </w:r>
        <w:r w:rsidR="00C72ADE" w:rsidRPr="00C72ADE">
          <w:rPr>
            <w:rFonts w:ascii="黑体" w:eastAsia="黑体" w:hAnsi="黑体"/>
          </w:rPr>
          <w:t>8</w:t>
        </w:r>
        <w:r w:rsidRPr="00C72ADE">
          <w:rPr>
            <w:rFonts w:ascii="黑体" w:eastAsia="黑体" w:hAnsi="黑体"/>
          </w:rPr>
          <w:fldChar w:fldCharType="end"/>
        </w:r>
      </w:hyperlink>
    </w:p>
    <w:p w:rsidR="00C72ADE" w:rsidRPr="00C72ADE" w:rsidRDefault="00C72ADE" w:rsidP="00C72ADE">
      <w:pPr>
        <w:pStyle w:val="3"/>
        <w:tabs>
          <w:tab w:val="clear" w:pos="8296"/>
          <w:tab w:val="right" w:leader="dot" w:pos="8306"/>
        </w:tabs>
        <w:rPr>
          <w:rFonts w:ascii="黑体" w:eastAsia="黑体" w:hAnsi="黑体"/>
        </w:rPr>
      </w:pPr>
    </w:p>
    <w:p w:rsidR="00C72ADE" w:rsidRPr="00C72ADE" w:rsidRDefault="00277C1E" w:rsidP="00C72ADE">
      <w:pPr>
        <w:pStyle w:val="10"/>
        <w:tabs>
          <w:tab w:val="clear" w:pos="8296"/>
          <w:tab w:val="right" w:leader="dot" w:pos="8306"/>
        </w:tabs>
        <w:jc w:val="both"/>
        <w:rPr>
          <w:rFonts w:ascii="黑体" w:eastAsia="黑体" w:hAnsi="黑体"/>
        </w:rPr>
      </w:pPr>
      <w:hyperlink w:anchor="_Toc2085363780" w:history="1">
        <w:r w:rsidR="00C72ADE" w:rsidRPr="00C72ADE">
          <w:rPr>
            <w:rFonts w:ascii="黑体" w:eastAsia="黑体" w:hAnsi="黑体" w:hint="eastAsia"/>
          </w:rPr>
          <w:t xml:space="preserve">第三部分 </w:t>
        </w:r>
        <w:r w:rsidR="00C72ADE" w:rsidRPr="00C72ADE">
          <w:rPr>
            <w:rFonts w:ascii="黑体" w:eastAsia="黑体" w:hAnsi="黑体" w:hint="eastAsia"/>
            <w:szCs w:val="44"/>
          </w:rPr>
          <w:t>名</w:t>
        </w:r>
        <w:r w:rsidR="00C72ADE" w:rsidRPr="00C72ADE">
          <w:rPr>
            <w:rFonts w:ascii="黑体" w:eastAsia="黑体" w:hAnsi="黑体" w:hint="eastAsia"/>
          </w:rPr>
          <w:t>词解释</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_Toc2085363780 </w:instrText>
        </w:r>
        <w:r w:rsidRPr="00C72ADE">
          <w:rPr>
            <w:rFonts w:ascii="黑体" w:eastAsia="黑体" w:hAnsi="黑体"/>
          </w:rPr>
          <w:fldChar w:fldCharType="separate"/>
        </w:r>
        <w:r w:rsidR="00C72ADE" w:rsidRPr="00C72ADE">
          <w:rPr>
            <w:rFonts w:ascii="黑体" w:eastAsia="黑体" w:hAnsi="黑体"/>
          </w:rPr>
          <w:t>10</w:t>
        </w:r>
        <w:r w:rsidRPr="00C72ADE">
          <w:rPr>
            <w:rFonts w:ascii="黑体" w:eastAsia="黑体" w:hAnsi="黑体"/>
          </w:rPr>
          <w:fldChar w:fldCharType="end"/>
        </w:r>
      </w:hyperlink>
    </w:p>
    <w:p w:rsidR="00C72ADE" w:rsidRPr="00C72ADE" w:rsidRDefault="00277C1E" w:rsidP="00C72ADE">
      <w:pPr>
        <w:pStyle w:val="10"/>
        <w:tabs>
          <w:tab w:val="clear" w:pos="8296"/>
          <w:tab w:val="right" w:leader="dot" w:pos="8306"/>
        </w:tabs>
        <w:jc w:val="both"/>
        <w:rPr>
          <w:rFonts w:ascii="黑体" w:eastAsia="黑体" w:hAnsi="黑体"/>
        </w:rPr>
      </w:pPr>
      <w:hyperlink w:anchor="_Toc2045457845" w:history="1">
        <w:r w:rsidR="00C72ADE" w:rsidRPr="00C72ADE">
          <w:rPr>
            <w:rFonts w:ascii="黑体" w:eastAsia="黑体" w:hAnsi="黑体" w:hint="eastAsia"/>
            <w:szCs w:val="44"/>
          </w:rPr>
          <w:t>第</w:t>
        </w:r>
        <w:r w:rsidR="00C72ADE" w:rsidRPr="00C72ADE">
          <w:rPr>
            <w:rFonts w:ascii="黑体" w:eastAsia="黑体" w:hAnsi="黑体" w:hint="eastAsia"/>
          </w:rPr>
          <w:t>四部分 附件</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_Toc2045457845 </w:instrText>
        </w:r>
        <w:r w:rsidRPr="00C72ADE">
          <w:rPr>
            <w:rFonts w:ascii="黑体" w:eastAsia="黑体" w:hAnsi="黑体"/>
          </w:rPr>
          <w:fldChar w:fldCharType="separate"/>
        </w:r>
        <w:r w:rsidR="00C72ADE" w:rsidRPr="00C72ADE">
          <w:rPr>
            <w:rFonts w:ascii="黑体" w:eastAsia="黑体" w:hAnsi="黑体"/>
          </w:rPr>
          <w:t>12</w:t>
        </w:r>
        <w:r w:rsidRPr="00C72ADE">
          <w:rPr>
            <w:rFonts w:ascii="黑体" w:eastAsia="黑体" w:hAnsi="黑体"/>
          </w:rPr>
          <w:fldChar w:fldCharType="end"/>
        </w:r>
      </w:hyperlink>
    </w:p>
    <w:p w:rsidR="00C72ADE" w:rsidRPr="00C72ADE" w:rsidRDefault="00277C1E" w:rsidP="00C72ADE">
      <w:pPr>
        <w:pStyle w:val="10"/>
        <w:tabs>
          <w:tab w:val="clear" w:pos="8296"/>
          <w:tab w:val="right" w:leader="dot" w:pos="8306"/>
        </w:tabs>
        <w:jc w:val="both"/>
        <w:rPr>
          <w:rFonts w:ascii="黑体" w:eastAsia="黑体" w:hAnsi="黑体"/>
        </w:rPr>
      </w:pPr>
      <w:hyperlink w:anchor="_Toc36811144" w:history="1">
        <w:r w:rsidR="00C72ADE" w:rsidRPr="00C72ADE">
          <w:rPr>
            <w:rFonts w:ascii="黑体" w:eastAsia="黑体" w:hAnsi="黑体" w:cs="黑体" w:hint="eastAsia"/>
            <w:szCs w:val="32"/>
          </w:rPr>
          <w:t>附件1</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_Toc36811144 </w:instrText>
        </w:r>
        <w:r w:rsidRPr="00C72ADE">
          <w:rPr>
            <w:rFonts w:ascii="黑体" w:eastAsia="黑体" w:hAnsi="黑体"/>
          </w:rPr>
          <w:fldChar w:fldCharType="separate"/>
        </w:r>
        <w:r w:rsidR="00C72ADE" w:rsidRPr="00C72ADE">
          <w:rPr>
            <w:rFonts w:ascii="黑体" w:eastAsia="黑体" w:hAnsi="黑体"/>
          </w:rPr>
          <w:t>12</w:t>
        </w:r>
        <w:r w:rsidRPr="00C72ADE">
          <w:rPr>
            <w:rFonts w:ascii="黑体" w:eastAsia="黑体" w:hAnsi="黑体"/>
          </w:rPr>
          <w:fldChar w:fldCharType="end"/>
        </w:r>
      </w:hyperlink>
    </w:p>
    <w:p w:rsidR="00C72ADE" w:rsidRPr="00C72ADE" w:rsidRDefault="00277C1E" w:rsidP="00C72ADE">
      <w:pPr>
        <w:pStyle w:val="10"/>
        <w:tabs>
          <w:tab w:val="clear" w:pos="8296"/>
          <w:tab w:val="right" w:leader="dot" w:pos="8306"/>
        </w:tabs>
        <w:jc w:val="both"/>
        <w:rPr>
          <w:rFonts w:ascii="黑体" w:eastAsia="黑体" w:hAnsi="黑体"/>
        </w:rPr>
      </w:pPr>
      <w:hyperlink w:anchor="_Toc1793965784" w:history="1">
        <w:r w:rsidR="00C72ADE" w:rsidRPr="00C72ADE">
          <w:rPr>
            <w:rFonts w:ascii="黑体" w:eastAsia="黑体" w:hAnsi="黑体" w:hint="eastAsia"/>
            <w:szCs w:val="44"/>
          </w:rPr>
          <w:t>第</w:t>
        </w:r>
        <w:r w:rsidR="00C72ADE" w:rsidRPr="00C72ADE">
          <w:rPr>
            <w:rFonts w:ascii="黑体" w:eastAsia="黑体" w:hAnsi="黑体" w:hint="eastAsia"/>
          </w:rPr>
          <w:t>五部分 附表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_Toc1793965784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918183437" w:history="1">
        <w:r w:rsidR="00C72ADE" w:rsidRPr="00C72ADE">
          <w:rPr>
            <w:rFonts w:ascii="黑体" w:eastAsia="黑体" w:hAnsi="黑体" w:hint="eastAsia"/>
          </w:rPr>
          <w:t>一、收入支出决算总表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_Toc1918183437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672052669" w:history="1">
        <w:r w:rsidR="00C72ADE" w:rsidRPr="00C72ADE">
          <w:rPr>
            <w:rFonts w:ascii="黑体" w:eastAsia="黑体" w:hAnsi="黑体" w:hint="eastAsia"/>
          </w:rPr>
          <w:t>二、收入决算表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_Toc672052669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562998750" w:history="1">
        <w:r w:rsidR="00C72ADE" w:rsidRPr="00C72ADE">
          <w:rPr>
            <w:rFonts w:ascii="黑体" w:eastAsia="黑体" w:hAnsi="黑体" w:hint="eastAsia"/>
          </w:rPr>
          <w:t>三、支出决算表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_Toc562998750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819810764" w:history="1">
        <w:r w:rsidR="00C72ADE" w:rsidRPr="00C72ADE">
          <w:rPr>
            <w:rFonts w:ascii="黑体" w:eastAsia="黑体" w:hAnsi="黑体" w:hint="eastAsia"/>
          </w:rPr>
          <w:t>四、财政拨款收入支出决算总表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_Toc1819810764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807767742" w:history="1">
        <w:r w:rsidR="00C72ADE" w:rsidRPr="00C72ADE">
          <w:rPr>
            <w:rFonts w:ascii="黑体" w:eastAsia="黑体" w:hAnsi="黑体" w:hint="eastAsia"/>
          </w:rPr>
          <w:t>五、财政拨款支出决算明细表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_Toc807767742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948734389" w:history="1">
        <w:r w:rsidR="00C72ADE" w:rsidRPr="00C72ADE">
          <w:rPr>
            <w:rFonts w:ascii="黑体" w:eastAsia="黑体" w:hAnsi="黑体" w:hint="eastAsia"/>
          </w:rPr>
          <w:t>六、一般公共预算财政拨款支出决算表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_Toc948734389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052739559" w:history="1">
        <w:r w:rsidR="00C72ADE" w:rsidRPr="00C72ADE">
          <w:rPr>
            <w:rFonts w:ascii="黑体" w:eastAsia="黑体" w:hAnsi="黑体" w:hint="eastAsia"/>
          </w:rPr>
          <w:t>七、一般公共预算财政拨款支出决算明细表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_Toc1052739559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511985316" w:history="1">
        <w:r w:rsidR="00C72ADE" w:rsidRPr="00C72ADE">
          <w:rPr>
            <w:rFonts w:ascii="黑体" w:eastAsia="黑体" w:hAnsi="黑体" w:hint="eastAsia"/>
          </w:rPr>
          <w:t>八、一般公共预算财政拨款基本支出决算表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_Toc511985316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089933093" w:history="1">
        <w:r w:rsidR="00C72ADE" w:rsidRPr="00C72ADE">
          <w:rPr>
            <w:rFonts w:ascii="黑体" w:eastAsia="黑体" w:hAnsi="黑体" w:hint="eastAsia"/>
          </w:rPr>
          <w:t>九、一般公共预算财政拨款项目支出决算表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_Toc1089933093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659127568" w:history="1">
        <w:r w:rsidR="00C72ADE" w:rsidRPr="00C72ADE">
          <w:rPr>
            <w:rFonts w:ascii="黑体" w:eastAsia="黑体" w:hAnsi="黑体" w:hint="eastAsia"/>
          </w:rPr>
          <w:t>十、一般公共预算财政拨款“三公”经费支出决算表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_Toc1659127568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Default="00277C1E" w:rsidP="00C72ADE">
      <w:pPr>
        <w:pStyle w:val="2"/>
        <w:tabs>
          <w:tab w:val="clear" w:pos="8296"/>
          <w:tab w:val="right" w:leader="dot" w:pos="8306"/>
        </w:tabs>
      </w:pPr>
      <w:hyperlink w:anchor="_Toc913812114" w:history="1">
        <w:r w:rsidR="00C72ADE" w:rsidRPr="00C72ADE">
          <w:rPr>
            <w:rFonts w:ascii="黑体" w:eastAsia="黑体" w:hAnsi="黑体" w:hint="eastAsia"/>
          </w:rPr>
          <w:t>十一、政府性基金预算财政拨款收入支出决算表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_Toc913812114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2141454578" w:history="1">
        <w:r w:rsidR="00C72ADE" w:rsidRPr="00C72ADE">
          <w:rPr>
            <w:rFonts w:ascii="黑体" w:eastAsia="黑体" w:hAnsi="黑体" w:hint="eastAsia"/>
          </w:rPr>
          <w:t>十二、政府性基金预算财政拨款“三公”经费支出决算表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_Toc2141454578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C72ADE" w:rsidRPr="00C72ADE" w:rsidRDefault="00277C1E" w:rsidP="00C72ADE">
      <w:pPr>
        <w:pStyle w:val="2"/>
        <w:tabs>
          <w:tab w:val="clear" w:pos="8296"/>
          <w:tab w:val="right" w:leader="dot" w:pos="8306"/>
        </w:tabs>
        <w:rPr>
          <w:rFonts w:ascii="黑体" w:eastAsia="黑体" w:hAnsi="黑体"/>
        </w:rPr>
      </w:pPr>
      <w:hyperlink w:anchor="_Toc131279322" w:history="1">
        <w:r w:rsidR="00C72ADE" w:rsidRPr="00C72ADE">
          <w:rPr>
            <w:rFonts w:ascii="黑体" w:eastAsia="黑体" w:hAnsi="黑体" w:hint="eastAsia"/>
          </w:rPr>
          <w:t>十三、国有资本经营预算支出决算表</w:t>
        </w:r>
        <w:r w:rsidR="00C72ADE" w:rsidRPr="00C72ADE">
          <w:rPr>
            <w:rFonts w:ascii="黑体" w:eastAsia="黑体" w:hAnsi="黑体"/>
          </w:rPr>
          <w:tab/>
        </w:r>
        <w:r w:rsidRPr="00C72ADE">
          <w:rPr>
            <w:rFonts w:ascii="黑体" w:eastAsia="黑体" w:hAnsi="黑体"/>
          </w:rPr>
          <w:fldChar w:fldCharType="begin"/>
        </w:r>
        <w:r w:rsidR="00C72ADE" w:rsidRPr="00C72ADE">
          <w:rPr>
            <w:rFonts w:ascii="黑体" w:eastAsia="黑体" w:hAnsi="黑体"/>
          </w:rPr>
          <w:instrText xml:space="preserve"> PAGEREF _Toc131279322 </w:instrText>
        </w:r>
        <w:r w:rsidRPr="00C72ADE">
          <w:rPr>
            <w:rFonts w:ascii="黑体" w:eastAsia="黑体" w:hAnsi="黑体"/>
          </w:rPr>
          <w:fldChar w:fldCharType="separate"/>
        </w:r>
        <w:r w:rsidR="00C72ADE" w:rsidRPr="00C72ADE">
          <w:rPr>
            <w:rFonts w:ascii="黑体" w:eastAsia="黑体" w:hAnsi="黑体"/>
          </w:rPr>
          <w:t>15</w:t>
        </w:r>
        <w:r w:rsidRPr="00C72ADE">
          <w:rPr>
            <w:rFonts w:ascii="黑体" w:eastAsia="黑体" w:hAnsi="黑体"/>
          </w:rPr>
          <w:fldChar w:fldCharType="end"/>
        </w:r>
      </w:hyperlink>
    </w:p>
    <w:p w:rsidR="005A32EF" w:rsidRDefault="00277C1E" w:rsidP="00C74E32">
      <w:pPr>
        <w:spacing w:line="576" w:lineRule="exact"/>
        <w:jc w:val="center"/>
        <w:rPr>
          <w:rFonts w:hint="eastAsia"/>
        </w:rPr>
      </w:pPr>
      <w:r>
        <w:fldChar w:fldCharType="end"/>
      </w:r>
    </w:p>
    <w:p w:rsidR="005A32EF" w:rsidRDefault="005A32EF" w:rsidP="00C74E32">
      <w:pPr>
        <w:spacing w:line="576" w:lineRule="exact"/>
        <w:jc w:val="center"/>
        <w:rPr>
          <w:rFonts w:hint="eastAsia"/>
        </w:rPr>
      </w:pPr>
    </w:p>
    <w:p w:rsidR="005A32EF" w:rsidRDefault="005A32EF" w:rsidP="00C74E32">
      <w:pPr>
        <w:spacing w:line="576" w:lineRule="exact"/>
        <w:jc w:val="center"/>
        <w:rPr>
          <w:rFonts w:hint="eastAsia"/>
        </w:rPr>
      </w:pPr>
    </w:p>
    <w:p w:rsidR="00C72ADE" w:rsidRDefault="00C72ADE" w:rsidP="00C74E32">
      <w:pPr>
        <w:spacing w:line="576" w:lineRule="exact"/>
        <w:jc w:val="center"/>
        <w:rPr>
          <w:rFonts w:ascii="方正小标宋简体" w:eastAsia="方正小标宋简体"/>
          <w:sz w:val="36"/>
          <w:szCs w:val="36"/>
        </w:rPr>
      </w:pPr>
      <w:r w:rsidRPr="00C72ADE">
        <w:rPr>
          <w:rFonts w:ascii="方正小标宋简体" w:eastAsia="方正小标宋简体" w:hint="eastAsia"/>
          <w:sz w:val="36"/>
          <w:szCs w:val="36"/>
        </w:rPr>
        <w:lastRenderedPageBreak/>
        <w:t>第一部分</w:t>
      </w:r>
      <w:r w:rsidRPr="00C72ADE">
        <w:rPr>
          <w:rFonts w:eastAsia="方正小标宋简体" w:hint="eastAsia"/>
          <w:sz w:val="36"/>
          <w:szCs w:val="36"/>
        </w:rPr>
        <w:t> </w:t>
      </w:r>
      <w:r w:rsidRPr="00C72ADE">
        <w:rPr>
          <w:rFonts w:ascii="方正小标宋简体" w:eastAsia="方正小标宋简体" w:hint="eastAsia"/>
          <w:sz w:val="36"/>
          <w:szCs w:val="36"/>
        </w:rPr>
        <w:t>部门概况</w:t>
      </w:r>
    </w:p>
    <w:p w:rsidR="00C74E32" w:rsidRDefault="00C74E32" w:rsidP="00C74E32">
      <w:pPr>
        <w:spacing w:line="576" w:lineRule="exact"/>
        <w:jc w:val="left"/>
        <w:rPr>
          <w:rFonts w:ascii="黑体" w:eastAsia="黑体" w:hAnsi="黑体"/>
          <w:sz w:val="32"/>
          <w:szCs w:val="32"/>
        </w:rPr>
      </w:pPr>
    </w:p>
    <w:p w:rsidR="00C72ADE" w:rsidRPr="00C72ADE" w:rsidRDefault="00C72ADE" w:rsidP="00C74E32">
      <w:pPr>
        <w:spacing w:line="576" w:lineRule="exact"/>
        <w:ind w:firstLineChars="200" w:firstLine="640"/>
        <w:jc w:val="left"/>
        <w:rPr>
          <w:rFonts w:ascii="黑体" w:eastAsia="黑体" w:hAnsi="黑体"/>
          <w:sz w:val="32"/>
          <w:szCs w:val="32"/>
        </w:rPr>
      </w:pPr>
      <w:r w:rsidRPr="00C72ADE">
        <w:rPr>
          <w:rFonts w:ascii="黑体" w:eastAsia="黑体" w:hAnsi="黑体" w:hint="eastAsia"/>
          <w:sz w:val="32"/>
          <w:szCs w:val="32"/>
        </w:rPr>
        <w:t>一、基本职能及主要工作</w:t>
      </w:r>
    </w:p>
    <w:p w:rsidR="00C72ADE" w:rsidRDefault="00C72ADE" w:rsidP="00C72ADE">
      <w:pPr>
        <w:spacing w:line="576" w:lineRule="exact"/>
        <w:ind w:firstLineChars="150" w:firstLine="480"/>
        <w:jc w:val="left"/>
        <w:rPr>
          <w:rFonts w:ascii="楷体_GB2312" w:eastAsia="楷体_GB2312"/>
          <w:sz w:val="32"/>
          <w:szCs w:val="32"/>
        </w:rPr>
      </w:pPr>
      <w:r w:rsidRPr="00C72ADE">
        <w:rPr>
          <w:rFonts w:ascii="楷体_GB2312" w:eastAsia="楷体_GB2312" w:hint="eastAsia"/>
          <w:sz w:val="32"/>
          <w:szCs w:val="32"/>
        </w:rPr>
        <w:t>（一）主要职能</w:t>
      </w:r>
    </w:p>
    <w:p w:rsidR="00C72ADE" w:rsidRPr="00C72ADE" w:rsidRDefault="00C72ADE" w:rsidP="00C72ADE">
      <w:pPr>
        <w:spacing w:line="576" w:lineRule="exact"/>
        <w:ind w:firstLineChars="200" w:firstLine="640"/>
        <w:jc w:val="left"/>
        <w:rPr>
          <w:rFonts w:ascii="仿宋_GB2312" w:eastAsia="仿宋_GB2312"/>
          <w:sz w:val="32"/>
          <w:szCs w:val="32"/>
        </w:rPr>
      </w:pPr>
      <w:r w:rsidRPr="00C72ADE">
        <w:rPr>
          <w:rFonts w:ascii="仿宋_GB2312" w:eastAsia="仿宋_GB2312" w:hint="eastAsia"/>
          <w:sz w:val="32"/>
          <w:szCs w:val="32"/>
        </w:rPr>
        <w:t>市重点建设项目事务中心主要职责为负责做好全市铁路建设发展规划和年度计划相关事务工作及承担铁路建设的征地拆迁、建设环境保障等综合协调服务。</w:t>
      </w:r>
      <w:r w:rsidRPr="00C72ADE">
        <w:rPr>
          <w:rFonts w:ascii="仿宋_GB2312" w:eastAsia="仿宋_GB2312" w:hint="eastAsia"/>
          <w:sz w:val="32"/>
          <w:szCs w:val="32"/>
        </w:rPr>
        <w:br/>
        <w:t>人员：事业编制13名，工勤编制1名，当年新增事业人员2人，退休人员1人。实际在岗人员13人，年末退休人员7名。</w:t>
      </w:r>
    </w:p>
    <w:p w:rsidR="00C72ADE" w:rsidRDefault="00C72ADE" w:rsidP="00C72ADE">
      <w:pPr>
        <w:spacing w:line="576" w:lineRule="exact"/>
        <w:ind w:firstLineChars="150" w:firstLine="480"/>
        <w:jc w:val="left"/>
        <w:rPr>
          <w:rFonts w:ascii="楷体_GB2312" w:eastAsia="楷体_GB2312"/>
          <w:sz w:val="32"/>
          <w:szCs w:val="32"/>
        </w:rPr>
      </w:pPr>
      <w:r w:rsidRPr="00C72ADE">
        <w:rPr>
          <w:rFonts w:ascii="楷体_GB2312" w:eastAsia="楷体_GB2312" w:hint="eastAsia"/>
          <w:sz w:val="32"/>
          <w:szCs w:val="32"/>
        </w:rPr>
        <w:t>（二）2019年重点工作完成情况</w:t>
      </w:r>
    </w:p>
    <w:p w:rsidR="00C72ADE" w:rsidRDefault="00C72ADE" w:rsidP="00C72ADE">
      <w:pPr>
        <w:spacing w:line="576" w:lineRule="exact"/>
        <w:ind w:firstLineChars="200" w:firstLine="640"/>
        <w:jc w:val="left"/>
        <w:rPr>
          <w:rFonts w:ascii="方正小标宋简体" w:eastAsia="方正小标宋简体"/>
          <w:sz w:val="36"/>
          <w:szCs w:val="36"/>
        </w:rPr>
      </w:pPr>
      <w:r w:rsidRPr="00C72ADE">
        <w:rPr>
          <w:rFonts w:ascii="仿宋_GB2312" w:eastAsia="仿宋_GB2312" w:hint="eastAsia"/>
          <w:sz w:val="32"/>
          <w:szCs w:val="32"/>
        </w:rPr>
        <w:t>2019年，在市委市政府的坚强领导下，我办深入贯彻落实中央、省委、市委全会和经济工作会议精神，始终保持科学发展、转型发展、加快发展的战略定力，进一步加快重点项目建设，圆满完成了年度各项工作目标任务。</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1、宣传贯彻和执行国家重点项目建设的法律法规和方针政策,营造重点项目建设良好环境，加强重点项目实施的监督检查和协调推进。</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2、完成兰渝铁路工程建设涉及地方遗留问题的处理和相关后续工作。</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3、完成西成铁路工程建设涉及地方遗留问题的处理和相关后续工作。</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4、广元动车运用所项目一期工程正式开工建设后，积极协</w:t>
      </w:r>
      <w:r w:rsidRPr="00C72ADE">
        <w:rPr>
          <w:rFonts w:ascii="仿宋_GB2312" w:eastAsia="仿宋_GB2312" w:hint="eastAsia"/>
          <w:sz w:val="32"/>
          <w:szCs w:val="32"/>
        </w:rPr>
        <w:lastRenderedPageBreak/>
        <w:t>调处理广元动车运用所建设中的各类问题，协调兑付广元动车运用所建设涉及的民工工资300余万元，有效保证了项目顺利推进。</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5、广元高铁快运物流基地项目推进情况。广元市人民政府与中铁快运股份有限公司成功签订了广元高铁快运物流基地项目合作建设协议，将共同打造全国首个高铁快运物流示范基地。</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6、2019年6月，广巴达铁路扩能项目推进会在我市召开，会议一致认为广巴铁路扩能项目启动时机基本成熟，一致同意共同加快项目推进，力争尽快启动实施。</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7、脱贫攻坚工作取得了显著成效。</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黑体" w:eastAsia="黑体" w:hAnsi="黑体" w:hint="eastAsia"/>
          <w:sz w:val="32"/>
          <w:szCs w:val="32"/>
        </w:rPr>
        <w:t>二、机构设置</w:t>
      </w:r>
      <w:r w:rsidRPr="00C72ADE">
        <w:rPr>
          <w:rFonts w:ascii="黑体" w:eastAsia="黑体" w:hAnsi="黑体"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本单位属全额拨款的参公管理事业单位，属一级核算单位，未有二级单位。</w:t>
      </w:r>
      <w:r>
        <w:rPr>
          <w:rFonts w:ascii="仿宋_GB2312" w:eastAsia="仿宋_GB2312" w:hint="eastAsia"/>
          <w:sz w:val="32"/>
          <w:szCs w:val="32"/>
        </w:rPr>
        <w:br/>
      </w:r>
      <w:r>
        <w:rPr>
          <w:rFonts w:ascii="方正小标宋简体" w:eastAsia="方正小标宋简体" w:hint="eastAsia"/>
          <w:sz w:val="36"/>
          <w:szCs w:val="36"/>
        </w:rPr>
        <w:t xml:space="preserve">    </w:t>
      </w:r>
    </w:p>
    <w:p w:rsidR="00C72ADE" w:rsidRDefault="00C72ADE" w:rsidP="00C72ADE">
      <w:pPr>
        <w:spacing w:line="576" w:lineRule="exact"/>
        <w:ind w:firstLineChars="200" w:firstLine="720"/>
        <w:jc w:val="center"/>
        <w:rPr>
          <w:rFonts w:ascii="方正小标宋简体" w:eastAsia="方正小标宋简体"/>
          <w:sz w:val="36"/>
          <w:szCs w:val="36"/>
        </w:rPr>
      </w:pPr>
      <w:r w:rsidRPr="00C72ADE">
        <w:rPr>
          <w:rFonts w:ascii="方正小标宋简体" w:eastAsia="方正小标宋简体" w:hint="eastAsia"/>
          <w:sz w:val="36"/>
          <w:szCs w:val="36"/>
        </w:rPr>
        <w:t>第二部分</w:t>
      </w:r>
      <w:r w:rsidRPr="00C72ADE">
        <w:rPr>
          <w:rFonts w:eastAsia="方正小标宋简体" w:hint="eastAsia"/>
          <w:sz w:val="36"/>
          <w:szCs w:val="36"/>
        </w:rPr>
        <w:t> </w:t>
      </w:r>
      <w:r w:rsidRPr="00C72ADE">
        <w:rPr>
          <w:rFonts w:ascii="方正小标宋简体" w:eastAsia="方正小标宋简体" w:hint="eastAsia"/>
          <w:sz w:val="36"/>
          <w:szCs w:val="36"/>
        </w:rPr>
        <w:t>2019年度部门决算情况说明</w:t>
      </w:r>
    </w:p>
    <w:p w:rsidR="00C72ADE" w:rsidRDefault="00C72ADE" w:rsidP="00C72ADE">
      <w:pPr>
        <w:spacing w:line="576" w:lineRule="exact"/>
        <w:rPr>
          <w:rFonts w:ascii="黑体" w:eastAsia="黑体" w:hAnsi="黑体"/>
          <w:sz w:val="32"/>
          <w:szCs w:val="32"/>
        </w:rPr>
      </w:pPr>
    </w:p>
    <w:p w:rsidR="00C72ADE" w:rsidRPr="00C72ADE" w:rsidRDefault="00C72ADE" w:rsidP="00C72ADE">
      <w:pPr>
        <w:spacing w:line="576" w:lineRule="exact"/>
        <w:ind w:firstLineChars="200" w:firstLine="640"/>
        <w:rPr>
          <w:rFonts w:ascii="黑体" w:eastAsia="黑体" w:hAnsi="黑体"/>
          <w:sz w:val="32"/>
          <w:szCs w:val="32"/>
        </w:rPr>
      </w:pPr>
      <w:r>
        <w:rPr>
          <w:rFonts w:ascii="黑体" w:eastAsia="黑体" w:hAnsi="黑体" w:hint="eastAsia"/>
          <w:sz w:val="32"/>
          <w:szCs w:val="32"/>
        </w:rPr>
        <w:t>一、</w:t>
      </w:r>
      <w:r w:rsidRPr="00C72ADE">
        <w:rPr>
          <w:rFonts w:ascii="黑体" w:eastAsia="黑体" w:hAnsi="黑体" w:hint="eastAsia"/>
          <w:sz w:val="32"/>
          <w:szCs w:val="32"/>
        </w:rPr>
        <w:t>收入支出决算总体情况说明</w:t>
      </w:r>
    </w:p>
    <w:p w:rsidR="008D2AAC" w:rsidRDefault="00C72ADE" w:rsidP="00C72ADE">
      <w:pPr>
        <w:spacing w:line="576" w:lineRule="exact"/>
        <w:ind w:firstLineChars="200" w:firstLine="640"/>
        <w:rPr>
          <w:rFonts w:ascii="仿宋_GB2312" w:eastAsia="仿宋_GB2312"/>
          <w:sz w:val="32"/>
          <w:szCs w:val="32"/>
        </w:rPr>
      </w:pPr>
      <w:r w:rsidRPr="00C72ADE">
        <w:rPr>
          <w:rFonts w:ascii="仿宋_GB2312" w:eastAsia="仿宋_GB2312" w:hint="eastAsia"/>
          <w:sz w:val="32"/>
          <w:szCs w:val="32"/>
        </w:rPr>
        <w:t>2019年度收、支总计15816.56万元。与2018年相比，收、支总计各增加1151.68万元，增长7.9%。主要变动原因是增加动车所项目资金。</w:t>
      </w:r>
      <w:r>
        <w:rPr>
          <w:rFonts w:ascii="仿宋_GB2312" w:eastAsia="仿宋_GB2312" w:hint="eastAsia"/>
          <w:sz w:val="32"/>
          <w:szCs w:val="32"/>
        </w:rPr>
        <w:br/>
        <w:t xml:space="preserve">   </w:t>
      </w:r>
      <w:r w:rsidRPr="00C72ADE">
        <w:rPr>
          <w:rFonts w:ascii="黑体" w:eastAsia="黑体" w:hAnsi="黑体" w:hint="eastAsia"/>
          <w:sz w:val="32"/>
          <w:szCs w:val="32"/>
        </w:rPr>
        <w:t xml:space="preserve"> 二、收入决算情况说明</w:t>
      </w:r>
      <w:r w:rsidRPr="00C72ADE">
        <w:rPr>
          <w:rFonts w:ascii="黑体" w:eastAsia="黑体" w:hAnsi="黑体"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2019年本年收入合计5455.51万元，其中：一般公共预算财政拨款收入454.69万元，占8.3%；政府性基金预算财政拨款</w:t>
      </w:r>
      <w:r w:rsidRPr="00C72ADE">
        <w:rPr>
          <w:rFonts w:ascii="仿宋_GB2312" w:eastAsia="仿宋_GB2312" w:hint="eastAsia"/>
          <w:sz w:val="32"/>
          <w:szCs w:val="32"/>
        </w:rPr>
        <w:lastRenderedPageBreak/>
        <w:t>收入5000万元，占91.65%；其他收入0.82万元，占0.05%。</w:t>
      </w:r>
      <w:r>
        <w:rPr>
          <w:rFonts w:ascii="仿宋_GB2312" w:eastAsia="仿宋_GB2312" w:hint="eastAsia"/>
          <w:sz w:val="32"/>
          <w:szCs w:val="32"/>
        </w:rPr>
        <w:br/>
        <w:t xml:space="preserve"> </w:t>
      </w:r>
      <w:r w:rsidRPr="00C72ADE">
        <w:rPr>
          <w:rFonts w:ascii="黑体" w:eastAsia="黑体" w:hAnsi="黑体" w:hint="eastAsia"/>
          <w:sz w:val="32"/>
          <w:szCs w:val="32"/>
        </w:rPr>
        <w:t xml:space="preserve">   三、支出决算情况说明</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2019年本年支出合计15715.22万元，其中：基本支出250.66万元，占1.6%；项目支出15464.56万元，占98.4%。</w:t>
      </w:r>
      <w:r>
        <w:rPr>
          <w:rFonts w:ascii="仿宋_GB2312" w:eastAsia="仿宋_GB2312" w:hint="eastAsia"/>
          <w:sz w:val="32"/>
          <w:szCs w:val="32"/>
        </w:rPr>
        <w:br/>
      </w:r>
      <w:r w:rsidRPr="00C72ADE">
        <w:rPr>
          <w:rFonts w:ascii="黑体" w:eastAsia="黑体" w:hAnsi="黑体" w:hint="eastAsia"/>
          <w:sz w:val="32"/>
          <w:szCs w:val="32"/>
        </w:rPr>
        <w:t xml:space="preserve">    四、财政拨款收入支出决算总体情况说明</w:t>
      </w:r>
      <w:r w:rsidRPr="00C72ADE">
        <w:rPr>
          <w:rFonts w:ascii="仿宋_GB2312" w:eastAsia="仿宋_GB2312" w:hint="eastAsia"/>
          <w:sz w:val="32"/>
          <w:szCs w:val="32"/>
        </w:rPr>
        <w:br/>
        <w:t>2019年财政拨款收、支总计15815.74万元。与2018年相比，财政拨款收、支总计各增加1150.86万元，增长7.9%。主要变动原因是增加动车所项目资金。</w:t>
      </w:r>
      <w:r>
        <w:rPr>
          <w:rFonts w:ascii="仿宋_GB2312" w:eastAsia="仿宋_GB2312" w:hint="eastAsia"/>
          <w:sz w:val="32"/>
          <w:szCs w:val="32"/>
        </w:rPr>
        <w:br/>
        <w:t xml:space="preserve">   </w:t>
      </w:r>
      <w:r w:rsidRPr="00C72ADE">
        <w:rPr>
          <w:rFonts w:ascii="黑体" w:eastAsia="黑体" w:hAnsi="黑体" w:hint="eastAsia"/>
          <w:sz w:val="32"/>
          <w:szCs w:val="32"/>
        </w:rPr>
        <w:t xml:space="preserve"> 五、一般公共预算财政拨款支出决算情况说明</w:t>
      </w:r>
      <w:r w:rsidRPr="00C72ADE">
        <w:rPr>
          <w:rFonts w:ascii="仿宋_GB2312" w:eastAsia="仿宋_GB2312" w:hint="eastAsia"/>
          <w:sz w:val="32"/>
          <w:szCs w:val="32"/>
        </w:rPr>
        <w:br/>
      </w:r>
      <w:r w:rsidRPr="00C72ADE">
        <w:rPr>
          <w:rFonts w:ascii="楷体_GB2312" w:eastAsia="楷体_GB2312" w:hint="eastAsia"/>
          <w:sz w:val="32"/>
          <w:szCs w:val="32"/>
        </w:rPr>
        <w:t xml:space="preserve">   （一）一般公共预算财政拨款支出决算总体情况</w:t>
      </w:r>
      <w:r w:rsidRPr="00C72ADE">
        <w:rPr>
          <w:rFonts w:ascii="仿宋_GB2312" w:eastAsia="仿宋_GB2312" w:hint="eastAsia"/>
          <w:sz w:val="32"/>
          <w:szCs w:val="32"/>
        </w:rPr>
        <w:br/>
        <w:t>2019年一般公共预算财政拨款支出10715.22万元，占本年支出合计的68.2%。与2018年相比，一般公共预算财政拨款增加10411.4万元，增长3426.8%。主要变动原因是动车所项目资金支出增加。</w:t>
      </w:r>
      <w:r>
        <w:rPr>
          <w:rFonts w:ascii="仿宋_GB2312" w:eastAsia="仿宋_GB2312" w:hint="eastAsia"/>
          <w:sz w:val="32"/>
          <w:szCs w:val="32"/>
        </w:rPr>
        <w:br/>
        <w:t xml:space="preserve">   </w:t>
      </w:r>
      <w:r w:rsidRPr="00C72ADE">
        <w:rPr>
          <w:rFonts w:ascii="楷体_GB2312" w:eastAsia="楷体_GB2312" w:hint="eastAsia"/>
          <w:sz w:val="32"/>
          <w:szCs w:val="32"/>
        </w:rPr>
        <w:t>（二）一般公共预算财政拨款支出决算结构情况</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2019年一般公共预算财政拨款支出10715.22万元，主要用于以下方面:一般公共服务（类）支出205.23万元，占1.92%；社会保障和就业（类）支出22.57万元，占0.21%；卫生健康（类）支出8.15万元，占0.08%；住房保障支出（类）支出16.89万元，占0.16%；农林水支出（类）1.38万元，占0.01%；铁路运输（类）10461万元，占97.63%。</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楷体_GB2312" w:eastAsia="楷体_GB2312" w:hint="eastAsia"/>
          <w:sz w:val="32"/>
          <w:szCs w:val="32"/>
        </w:rPr>
        <w:t>（三）一般公共预算财政拨款支出决算具体情况</w:t>
      </w:r>
      <w:r w:rsidRPr="00C72ADE">
        <w:rPr>
          <w:rFonts w:ascii="仿宋_GB2312" w:eastAsia="仿宋_GB2312" w:hint="eastAsia"/>
          <w:sz w:val="32"/>
          <w:szCs w:val="32"/>
        </w:rPr>
        <w:br/>
      </w:r>
      <w:r>
        <w:rPr>
          <w:rFonts w:ascii="仿宋_GB2312" w:eastAsia="仿宋_GB2312" w:hint="eastAsia"/>
          <w:sz w:val="32"/>
          <w:szCs w:val="32"/>
        </w:rPr>
        <w:lastRenderedPageBreak/>
        <w:t xml:space="preserve">    </w:t>
      </w:r>
      <w:r w:rsidRPr="00C72ADE">
        <w:rPr>
          <w:rFonts w:ascii="仿宋_GB2312" w:eastAsia="仿宋_GB2312" w:hint="eastAsia"/>
          <w:sz w:val="32"/>
          <w:szCs w:val="32"/>
        </w:rPr>
        <w:t>2019年一般公共预算支出决算数为10715.22万元，完成预算99.07%。其中：</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1.一般公共服务（类）其他一般公共服务（款）其他一般公共服务（项）:</w:t>
      </w:r>
      <w:r w:rsidRPr="00C72ADE">
        <w:rPr>
          <w:rFonts w:eastAsia="仿宋_GB2312" w:hint="eastAsia"/>
          <w:sz w:val="32"/>
          <w:szCs w:val="32"/>
        </w:rPr>
        <w:t> </w:t>
      </w:r>
      <w:r w:rsidRPr="00C72ADE">
        <w:rPr>
          <w:rFonts w:ascii="仿宋_GB2312" w:eastAsia="仿宋_GB2312" w:hint="eastAsia"/>
          <w:sz w:val="32"/>
          <w:szCs w:val="32"/>
        </w:rPr>
        <w:t>支出决算为133.05万元，完成预算100%。</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2.社会保障和就业（类）行政事业单位离退休（款）机关事业单位基本养老保险缴费支出（项）:支出决算为22.57万元，完成预算100%。</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3.卫生健康（类）行政事业单位医疗（款）行政单位医疗（项）:支出决算为8.15万元，完成预算100%。</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4.住房保障支出（类）住房改革支出（款）住房公积金（项）：支出决算为16.89万元，完成预算100%。</w:t>
      </w:r>
      <w:r w:rsidRPr="00C72ADE">
        <w:rPr>
          <w:rFonts w:eastAsia="仿宋_GB2312" w:hint="eastAsia"/>
          <w:sz w:val="32"/>
          <w:szCs w:val="32"/>
        </w:rPr>
        <w:t> </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5.</w:t>
      </w:r>
      <w:r w:rsidRPr="00C72ADE">
        <w:rPr>
          <w:rFonts w:eastAsia="仿宋_GB2312" w:hint="eastAsia"/>
          <w:sz w:val="32"/>
          <w:szCs w:val="32"/>
        </w:rPr>
        <w:t> </w:t>
      </w:r>
      <w:r w:rsidRPr="00C72ADE">
        <w:rPr>
          <w:rFonts w:ascii="仿宋_GB2312" w:eastAsia="仿宋_GB2312" w:hint="eastAsia"/>
          <w:sz w:val="32"/>
          <w:szCs w:val="32"/>
        </w:rPr>
        <w:t>农林水支出（类）扶贫（款）其他扶贫支出（项）：支出决算为1.38万元，完成预算100%。</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6.</w:t>
      </w:r>
      <w:r w:rsidRPr="00C72ADE">
        <w:rPr>
          <w:rFonts w:eastAsia="仿宋_GB2312" w:hint="eastAsia"/>
          <w:sz w:val="32"/>
          <w:szCs w:val="32"/>
        </w:rPr>
        <w:t> </w:t>
      </w:r>
      <w:r w:rsidRPr="00C72ADE">
        <w:rPr>
          <w:rFonts w:ascii="仿宋_GB2312" w:eastAsia="仿宋_GB2312" w:hint="eastAsia"/>
          <w:sz w:val="32"/>
          <w:szCs w:val="32"/>
        </w:rPr>
        <w:t>铁路运输（类）铁路安全（款）其他铁路运输支出（项）：支出决算为10461万元，完成预算99.05%。决算数小于预算数的主要原因是有100万元指标下达时间正值年末，实际资金并未到达本单位账户，决算工作就已开始，故当年并未支出该笔资金。</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7.其他支出（类）其他支出（款）其他支出（项）：支出决算为70万元，完成预算100%。</w:t>
      </w:r>
      <w:r>
        <w:rPr>
          <w:rFonts w:ascii="仿宋_GB2312" w:eastAsia="仿宋_GB2312" w:hint="eastAsia"/>
          <w:sz w:val="32"/>
          <w:szCs w:val="32"/>
        </w:rPr>
        <w:br/>
        <w:t xml:space="preserve">    </w:t>
      </w:r>
      <w:r w:rsidRPr="00C72ADE">
        <w:rPr>
          <w:rFonts w:ascii="黑体" w:eastAsia="黑体" w:hAnsi="黑体" w:hint="eastAsia"/>
          <w:sz w:val="32"/>
          <w:szCs w:val="32"/>
        </w:rPr>
        <w:t>六、一般公共预算财政拨款基本支出决算情况说明</w:t>
      </w:r>
      <w:r w:rsidRPr="00C72ADE">
        <w:rPr>
          <w:rFonts w:ascii="仿宋_GB2312" w:eastAsia="仿宋_GB2312" w:hint="eastAsia"/>
          <w:sz w:val="32"/>
          <w:szCs w:val="32"/>
        </w:rPr>
        <w:t xml:space="preserve"> </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2019年一般公共预算财政拨款基本支出250.66万元，其中：</w:t>
      </w:r>
      <w:r w:rsidRPr="00C72ADE">
        <w:rPr>
          <w:rFonts w:ascii="仿宋_GB2312" w:eastAsia="仿宋_GB2312" w:hint="eastAsia"/>
          <w:sz w:val="32"/>
          <w:szCs w:val="32"/>
        </w:rPr>
        <w:br/>
        <w:t>人员经费200.66万元，主要包括：基本工资、津贴补贴、奖金、</w:t>
      </w:r>
      <w:r w:rsidRPr="00C72ADE">
        <w:rPr>
          <w:rFonts w:ascii="仿宋_GB2312" w:eastAsia="仿宋_GB2312" w:hint="eastAsia"/>
          <w:sz w:val="32"/>
          <w:szCs w:val="32"/>
        </w:rPr>
        <w:lastRenderedPageBreak/>
        <w:t>伙食补助费、绩效工资、机关事业单位基本养老保险缴费、职业年金缴费、其他社会保障缴费、其他工资福利支出、离休费、退休费、抚恤金、生活补助、医疗费补助、奖励金、住房公积金、其他对个人和家庭的补助支出等。</w:t>
      </w:r>
      <w:r w:rsidRPr="00C72ADE">
        <w:rPr>
          <w:rFonts w:ascii="仿宋_GB2312" w:eastAsia="仿宋_GB2312" w:hint="eastAsia"/>
          <w:sz w:val="32"/>
          <w:szCs w:val="32"/>
        </w:rPr>
        <w:br/>
        <w:t xml:space="preserve">　　日常公用经费50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sidRPr="00C72ADE">
        <w:rPr>
          <w:rFonts w:ascii="仿宋_GB2312" w:eastAsia="仿宋_GB2312" w:hint="eastAsia"/>
          <w:sz w:val="32"/>
          <w:szCs w:val="32"/>
        </w:rPr>
        <w:br/>
      </w:r>
      <w:r>
        <w:rPr>
          <w:rFonts w:ascii="黑体" w:eastAsia="黑体" w:hAnsi="黑体" w:hint="eastAsia"/>
          <w:sz w:val="32"/>
          <w:szCs w:val="32"/>
        </w:rPr>
        <w:t xml:space="preserve">    </w:t>
      </w:r>
      <w:r w:rsidRPr="00C72ADE">
        <w:rPr>
          <w:rFonts w:ascii="黑体" w:eastAsia="黑体" w:hAnsi="黑体" w:hint="eastAsia"/>
          <w:sz w:val="32"/>
          <w:szCs w:val="32"/>
        </w:rPr>
        <w:t>七、“三公”经费财政拨款支出决算情况说明</w:t>
      </w:r>
      <w:r w:rsidRPr="00C72ADE">
        <w:rPr>
          <w:rFonts w:ascii="黑体" w:eastAsia="黑体" w:hAnsi="黑体" w:hint="eastAsia"/>
          <w:sz w:val="32"/>
          <w:szCs w:val="32"/>
        </w:rPr>
        <w:br/>
      </w:r>
      <w:r w:rsidRPr="00C72ADE">
        <w:rPr>
          <w:rFonts w:ascii="楷体_GB2312" w:eastAsia="楷体_GB2312" w:hint="eastAsia"/>
          <w:sz w:val="32"/>
          <w:szCs w:val="32"/>
        </w:rPr>
        <w:t xml:space="preserve">   （一）“三公”经费财政拨款支出决算总体情况说明</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2019年“三公”经费财政拨款支出决算为5.74万元。完成预算的100%。</w:t>
      </w:r>
      <w:r w:rsidRPr="00C72ADE">
        <w:rPr>
          <w:rFonts w:ascii="仿宋_GB2312" w:eastAsia="仿宋_GB2312" w:hint="eastAsia"/>
          <w:sz w:val="32"/>
          <w:szCs w:val="32"/>
        </w:rPr>
        <w:br/>
      </w:r>
      <w:r>
        <w:rPr>
          <w:rFonts w:ascii="楷体_GB2312" w:eastAsia="楷体_GB2312" w:hint="eastAsia"/>
          <w:sz w:val="32"/>
          <w:szCs w:val="32"/>
        </w:rPr>
        <w:t xml:space="preserve">   </w:t>
      </w:r>
      <w:r w:rsidRPr="00C72ADE">
        <w:rPr>
          <w:rFonts w:ascii="楷体_GB2312" w:eastAsia="楷体_GB2312" w:hint="eastAsia"/>
          <w:sz w:val="32"/>
          <w:szCs w:val="32"/>
        </w:rPr>
        <w:t>（二）“三公”经费财政拨款支出决算具体情况说明</w:t>
      </w:r>
      <w:r w:rsidRPr="00C72ADE">
        <w:rPr>
          <w:rFonts w:ascii="楷体_GB2312" w:eastAsia="楷体_GB2312" w:hint="eastAsia"/>
          <w:sz w:val="32"/>
          <w:szCs w:val="32"/>
        </w:rPr>
        <w:br/>
      </w:r>
      <w:r w:rsidRPr="00C72ADE">
        <w:rPr>
          <w:rFonts w:ascii="仿宋_GB2312" w:eastAsia="仿宋_GB2312" w:hint="eastAsia"/>
          <w:sz w:val="32"/>
          <w:szCs w:val="32"/>
        </w:rPr>
        <w:t>2019年“三公”经费财政拨款支出决算中，因公出国（境）费支出决算5.74万元，占100%。具体情况如下：</w:t>
      </w:r>
      <w:r w:rsidRPr="00C72ADE">
        <w:rPr>
          <w:rFonts w:ascii="仿宋_GB2312" w:eastAsia="仿宋_GB2312" w:hint="eastAsia"/>
          <w:sz w:val="32"/>
          <w:szCs w:val="32"/>
        </w:rPr>
        <w:br/>
      </w:r>
      <w:r>
        <w:rPr>
          <w:rFonts w:ascii="仿宋_GB2312" w:eastAsia="仿宋_GB2312" w:hint="eastAsia"/>
          <w:sz w:val="32"/>
          <w:szCs w:val="32"/>
        </w:rPr>
        <w:t xml:space="preserve">    </w:t>
      </w:r>
      <w:r w:rsidRPr="00C72ADE">
        <w:rPr>
          <w:rFonts w:ascii="仿宋_GB2312" w:eastAsia="仿宋_GB2312" w:hint="eastAsia"/>
          <w:sz w:val="32"/>
          <w:szCs w:val="32"/>
        </w:rPr>
        <w:t>1.因公出国（境）经费支出5.74万元。全年安排因公出国（境）团组1次，出国（境）1人。因公出国（境）支出决算比2018年增加5.74万元，增长100%。主要原因是2018年未安排因公出国。</w:t>
      </w:r>
      <w:r w:rsidRPr="00C72ADE">
        <w:rPr>
          <w:rFonts w:ascii="仿宋_GB2312" w:eastAsia="仿宋_GB2312" w:hint="eastAsia"/>
          <w:sz w:val="32"/>
          <w:szCs w:val="32"/>
        </w:rPr>
        <w:br/>
      </w:r>
      <w:r>
        <w:rPr>
          <w:rFonts w:ascii="仿宋_GB2312" w:eastAsia="仿宋_GB2312" w:hint="eastAsia"/>
          <w:sz w:val="32"/>
          <w:szCs w:val="32"/>
        </w:rPr>
        <w:lastRenderedPageBreak/>
        <w:t xml:space="preserve">    </w:t>
      </w:r>
      <w:r w:rsidRPr="00C72ADE">
        <w:rPr>
          <w:rFonts w:ascii="仿宋_GB2312" w:eastAsia="仿宋_GB2312" w:hint="eastAsia"/>
          <w:sz w:val="32"/>
          <w:szCs w:val="32"/>
        </w:rPr>
        <w:t>开支内容包括：广元市赴俄罗斯、斯洛伐克、捷克团组交通费39954元，住宿费9747元，伙食费3116元，公杂费3622元，境外人身意外元，境外人身意外保险250元，签证费750元，合计57439元。</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2.公务用车购置及运行维护费支出0万元,完成预算0%。公务用车购置及运行维护费支出决算比2019年增加0万元，增长0%。主要原因是公车改革后我中心公务用车已全部取消。</w:t>
      </w:r>
      <w:r w:rsidRPr="00C72ADE">
        <w:rPr>
          <w:rFonts w:ascii="仿宋_GB2312" w:eastAsia="仿宋_GB2312" w:hint="eastAsia"/>
          <w:sz w:val="32"/>
          <w:szCs w:val="32"/>
        </w:rPr>
        <w:br/>
        <w:t>其中：公务用车购置支出0万元。全年按规定更新购置公务用车0辆，金额0元。截至2019年12月底，单位共有公务用车0辆。</w:t>
      </w:r>
      <w:r w:rsidRPr="00C72ADE">
        <w:rPr>
          <w:rFonts w:ascii="仿宋_GB2312" w:eastAsia="仿宋_GB2312" w:hint="eastAsia"/>
          <w:sz w:val="32"/>
          <w:szCs w:val="32"/>
        </w:rPr>
        <w:br/>
        <w:t>公务用车运行维护费支出0万元。</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3.公务接待费支出0万元，完成预算0%。公务接待费支出决算比2019年下降100%。主要原因是2019年我中心未发生公务接待。其中：国内公务接待支出0万元。外事接待支出0万元。</w:t>
      </w:r>
      <w:r w:rsidR="008D2AAC">
        <w:rPr>
          <w:rFonts w:ascii="仿宋_GB2312" w:eastAsia="仿宋_GB2312" w:hint="eastAsia"/>
          <w:sz w:val="32"/>
          <w:szCs w:val="32"/>
        </w:rPr>
        <w:br/>
      </w:r>
      <w:r w:rsidR="008D2AAC">
        <w:rPr>
          <w:rFonts w:ascii="黑体" w:eastAsia="黑体" w:hAnsi="黑体" w:hint="eastAsia"/>
          <w:sz w:val="32"/>
          <w:szCs w:val="32"/>
        </w:rPr>
        <w:t xml:space="preserve">    </w:t>
      </w:r>
      <w:r w:rsidRPr="008D2AAC">
        <w:rPr>
          <w:rFonts w:ascii="黑体" w:eastAsia="黑体" w:hAnsi="黑体" w:hint="eastAsia"/>
          <w:sz w:val="32"/>
          <w:szCs w:val="32"/>
        </w:rPr>
        <w:t>八、政府性基金预算支出决算情况说明</w:t>
      </w:r>
      <w:r w:rsidRPr="008D2AAC">
        <w:rPr>
          <w:rFonts w:ascii="黑体" w:eastAsia="黑体" w:hAnsi="黑体"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2019年政府性基金预算拨款支出5000万元。</w:t>
      </w:r>
      <w:r w:rsidR="008D2AAC">
        <w:rPr>
          <w:rFonts w:ascii="仿宋_GB2312" w:eastAsia="仿宋_GB2312" w:hint="eastAsia"/>
          <w:sz w:val="32"/>
          <w:szCs w:val="32"/>
        </w:rPr>
        <w:br/>
        <w:t xml:space="preserve">    </w:t>
      </w:r>
      <w:r w:rsidRPr="008D2AAC">
        <w:rPr>
          <w:rFonts w:ascii="黑体" w:eastAsia="黑体" w:hAnsi="黑体" w:hint="eastAsia"/>
          <w:sz w:val="32"/>
          <w:szCs w:val="32"/>
        </w:rPr>
        <w:t>九、国有资本经营预算支出决算情况说明</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2019年国有资本经营预算拨款支出0万元。</w:t>
      </w:r>
      <w:r w:rsidR="008D2AAC">
        <w:rPr>
          <w:rFonts w:ascii="仿宋_GB2312" w:eastAsia="仿宋_GB2312" w:hint="eastAsia"/>
          <w:sz w:val="32"/>
          <w:szCs w:val="32"/>
        </w:rPr>
        <w:br/>
        <w:t xml:space="preserve">  </w:t>
      </w:r>
      <w:r w:rsidR="008D2AAC" w:rsidRPr="008D2AAC">
        <w:rPr>
          <w:rFonts w:ascii="黑体" w:eastAsia="黑体" w:hAnsi="黑体" w:hint="eastAsia"/>
          <w:sz w:val="32"/>
          <w:szCs w:val="32"/>
        </w:rPr>
        <w:t xml:space="preserve">  </w:t>
      </w:r>
      <w:r w:rsidRPr="008D2AAC">
        <w:rPr>
          <w:rFonts w:ascii="黑体" w:eastAsia="黑体" w:hAnsi="黑体" w:hint="eastAsia"/>
          <w:sz w:val="32"/>
          <w:szCs w:val="32"/>
        </w:rPr>
        <w:t>十、其他重要事项的情况说明</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008D2AAC" w:rsidRPr="008D2AAC">
        <w:rPr>
          <w:rFonts w:ascii="楷体_GB2312" w:eastAsia="楷体_GB2312" w:hint="eastAsia"/>
          <w:sz w:val="32"/>
          <w:szCs w:val="32"/>
        </w:rPr>
        <w:t xml:space="preserve"> </w:t>
      </w:r>
      <w:r w:rsidRPr="008D2AAC">
        <w:rPr>
          <w:rFonts w:ascii="楷体_GB2312" w:eastAsia="楷体_GB2312" w:hint="eastAsia"/>
          <w:sz w:val="32"/>
          <w:szCs w:val="32"/>
        </w:rPr>
        <w:t>（一）机关运行经费支出情况</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2019年，机关运行经费支出50万元，比2018年增加14.18万元，增长39.5%。主要原因是人员增加。</w:t>
      </w:r>
    </w:p>
    <w:p w:rsidR="008D2AAC" w:rsidRDefault="008D2AAC" w:rsidP="00C72ADE">
      <w:pPr>
        <w:spacing w:line="576" w:lineRule="exact"/>
        <w:ind w:firstLineChars="200" w:firstLine="640"/>
        <w:rPr>
          <w:rFonts w:ascii="仿宋_GB2312" w:eastAsia="仿宋_GB2312"/>
          <w:sz w:val="32"/>
          <w:szCs w:val="32"/>
        </w:rPr>
      </w:pPr>
    </w:p>
    <w:p w:rsidR="008D2AAC" w:rsidRDefault="00C72ADE" w:rsidP="00C72ADE">
      <w:pPr>
        <w:spacing w:line="576" w:lineRule="exact"/>
        <w:ind w:firstLineChars="200" w:firstLine="640"/>
        <w:rPr>
          <w:rFonts w:ascii="仿宋_GB2312" w:eastAsia="仿宋_GB2312"/>
          <w:sz w:val="32"/>
          <w:szCs w:val="32"/>
        </w:rPr>
      </w:pPr>
      <w:r w:rsidRPr="008D2AAC">
        <w:rPr>
          <w:rFonts w:ascii="黑体" w:eastAsia="黑体" w:hAnsi="黑体" w:hint="eastAsia"/>
          <w:sz w:val="32"/>
          <w:szCs w:val="32"/>
        </w:rPr>
        <w:lastRenderedPageBreak/>
        <w:t>（二）政府采购支出情况</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2019年，政府采购支出总额0万元，其中：政府采购货物支出0万元、政府采购工程支出0万元、政府采购服务支出0万元。</w:t>
      </w:r>
    </w:p>
    <w:p w:rsidR="008D2AAC" w:rsidRDefault="00C72ADE" w:rsidP="008D2AAC">
      <w:pPr>
        <w:spacing w:line="576" w:lineRule="exact"/>
        <w:ind w:firstLineChars="200" w:firstLine="640"/>
        <w:rPr>
          <w:rFonts w:ascii="仿宋_GB2312" w:eastAsia="仿宋_GB2312"/>
          <w:sz w:val="32"/>
          <w:szCs w:val="32"/>
        </w:rPr>
      </w:pPr>
      <w:r w:rsidRPr="008D2AAC">
        <w:rPr>
          <w:rFonts w:ascii="黑体" w:eastAsia="黑体" w:hAnsi="黑体" w:hint="eastAsia"/>
          <w:sz w:val="32"/>
          <w:szCs w:val="32"/>
        </w:rPr>
        <w:t>（三）国有资产占有使用情况</w:t>
      </w:r>
      <w:r w:rsidRPr="008D2AAC">
        <w:rPr>
          <w:rFonts w:ascii="黑体" w:eastAsia="黑体" w:hAnsi="黑体"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截至2019年12月31日，共有车辆0辆，单价50万元以上通用设备0台（套），单价100万元以上专用设备0台（套）。</w:t>
      </w:r>
      <w:r w:rsidRPr="00C72ADE">
        <w:rPr>
          <w:rFonts w:ascii="仿宋_GB2312" w:eastAsia="仿宋_GB2312" w:hint="eastAsia"/>
          <w:sz w:val="32"/>
          <w:szCs w:val="32"/>
        </w:rPr>
        <w:br/>
      </w:r>
      <w:r w:rsidR="008D2AAC">
        <w:rPr>
          <w:rFonts w:ascii="黑体" w:eastAsia="黑体" w:hAnsi="黑体" w:hint="eastAsia"/>
          <w:sz w:val="32"/>
          <w:szCs w:val="32"/>
        </w:rPr>
        <w:t xml:space="preserve">    </w:t>
      </w:r>
      <w:r w:rsidRPr="008D2AAC">
        <w:rPr>
          <w:rFonts w:ascii="黑体" w:eastAsia="黑体" w:hAnsi="黑体" w:hint="eastAsia"/>
          <w:sz w:val="32"/>
          <w:szCs w:val="32"/>
        </w:rPr>
        <w:t>（四）预算绩效管理情况。</w:t>
      </w:r>
      <w:r w:rsidRPr="008D2AAC">
        <w:rPr>
          <w:rFonts w:ascii="黑体" w:eastAsia="黑体" w:hAnsi="黑体"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根据预算绩效管理要求，本部门（单位）在年初预算编制阶段，组织对5个项目编制了绩效目标。</w:t>
      </w:r>
      <w:r w:rsidRPr="00C72ADE">
        <w:rPr>
          <w:rFonts w:ascii="仿宋_GB2312" w:eastAsia="仿宋_GB2312" w:hint="eastAsia"/>
          <w:sz w:val="32"/>
          <w:szCs w:val="32"/>
        </w:rPr>
        <w:br/>
        <w:t>本部门按要求对2019年部门整体支出开展绩效自评，从评价情况来看完成情况较好。本部门未组织开展项目支出绩效评价。</w:t>
      </w:r>
      <w:r w:rsidR="008D2AAC">
        <w:rPr>
          <w:rFonts w:ascii="仿宋_GB2312" w:eastAsia="仿宋_GB2312" w:hint="eastAsia"/>
          <w:sz w:val="32"/>
          <w:szCs w:val="32"/>
        </w:rPr>
        <w:br/>
        <w:t xml:space="preserve">    </w:t>
      </w:r>
      <w:r w:rsidRPr="00C72ADE">
        <w:rPr>
          <w:rFonts w:ascii="仿宋_GB2312" w:eastAsia="仿宋_GB2312" w:hint="eastAsia"/>
          <w:sz w:val="32"/>
          <w:szCs w:val="32"/>
        </w:rPr>
        <w:t>2.</w:t>
      </w:r>
      <w:r w:rsidR="008D2AAC">
        <w:rPr>
          <w:rFonts w:ascii="仿宋_GB2312" w:eastAsia="仿宋_GB2312" w:hint="eastAsia"/>
          <w:sz w:val="32"/>
          <w:szCs w:val="32"/>
        </w:rPr>
        <w:t>部门绩效评价结果</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本部门按要求对2019年部门整体支出绩效评价情况开展自评，《广元市重点建设项目事务中心2019年部门整体支出绩效评价报告》见附件（附件1）。</w:t>
      </w:r>
      <w:r w:rsidR="008D2AAC">
        <w:rPr>
          <w:rFonts w:ascii="仿宋_GB2312" w:eastAsia="仿宋_GB2312" w:hint="eastAsia"/>
          <w:sz w:val="32"/>
          <w:szCs w:val="32"/>
        </w:rPr>
        <w:br/>
        <w:t xml:space="preserve">                    </w:t>
      </w:r>
    </w:p>
    <w:p w:rsidR="008D2AAC" w:rsidRDefault="00C72ADE" w:rsidP="00C74E32">
      <w:pPr>
        <w:spacing w:line="576" w:lineRule="exact"/>
        <w:ind w:firstLineChars="1000" w:firstLine="3600"/>
        <w:rPr>
          <w:rFonts w:ascii="仿宋_GB2312" w:eastAsia="仿宋_GB2312"/>
          <w:sz w:val="32"/>
          <w:szCs w:val="32"/>
        </w:rPr>
      </w:pPr>
      <w:r w:rsidRPr="00C74E32">
        <w:rPr>
          <w:rFonts w:ascii="方正小标宋简体" w:eastAsia="方正小标宋简体" w:hAnsi="黑体" w:hint="eastAsia"/>
          <w:sz w:val="36"/>
          <w:szCs w:val="36"/>
        </w:rPr>
        <w:t>第三部分名词解释</w:t>
      </w:r>
      <w:r w:rsidRPr="00C72ADE">
        <w:rPr>
          <w:rFonts w:ascii="仿宋_GB2312" w:eastAsia="仿宋_GB2312" w:hint="eastAsia"/>
          <w:sz w:val="32"/>
          <w:szCs w:val="32"/>
        </w:rPr>
        <w:br/>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1.财政拨款收入：指单位从同级财政部门取得的财政预算资金。</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2.其他收入：指单位取得的除上述收入以外的各项收入。</w:t>
      </w:r>
      <w:r w:rsidRPr="00C72ADE">
        <w:rPr>
          <w:rFonts w:eastAsia="仿宋_GB2312" w:hint="eastAsia"/>
          <w:sz w:val="32"/>
          <w:szCs w:val="32"/>
        </w:rPr>
        <w:t> </w:t>
      </w:r>
      <w:r w:rsidRPr="00C72ADE">
        <w:rPr>
          <w:rFonts w:ascii="仿宋_GB2312" w:eastAsia="仿宋_GB2312" w:hint="eastAsia"/>
          <w:sz w:val="32"/>
          <w:szCs w:val="32"/>
        </w:rPr>
        <w:br/>
      </w:r>
      <w:r w:rsidR="008D2AAC">
        <w:rPr>
          <w:rFonts w:ascii="仿宋_GB2312" w:eastAsia="仿宋_GB2312" w:hint="eastAsia"/>
          <w:sz w:val="32"/>
          <w:szCs w:val="32"/>
        </w:rPr>
        <w:lastRenderedPageBreak/>
        <w:t xml:space="preserve">    </w:t>
      </w:r>
      <w:r w:rsidRPr="00C72ADE">
        <w:rPr>
          <w:rFonts w:ascii="仿宋_GB2312" w:eastAsia="仿宋_GB2312" w:hint="eastAsia"/>
          <w:sz w:val="32"/>
          <w:szCs w:val="32"/>
        </w:rPr>
        <w:t>3.年初结转和结余：指以前年度尚未完成、结转到本年按有关规定继续使用的资金。</w:t>
      </w:r>
      <w:r w:rsidRPr="00C72ADE">
        <w:rPr>
          <w:rFonts w:eastAsia="仿宋_GB2312" w:hint="eastAsia"/>
          <w:sz w:val="32"/>
          <w:szCs w:val="32"/>
        </w:rPr>
        <w:t> </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4.结余分配：指事业单位按照事业单位会计制度的规定从非财政补助结余中分配的事业基金和职工福利基金等。</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5、年末结转和结余：指单位按有关规定结转到下年或以后年度继续使用的资金。</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6.一般公共服务支出（类）其他一般公共服务支出（款）其他一般公共服务支出（项）：指除人大事务等项目以外的其他一般公共服务支出。</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7.社会保障和就业支出（类）行政事业单位离退休（款）机关事业单位基本养老保险缴费支出（项）：指反映机关事业单位实施养老保险制度由单位缴纳的基本养老保险费支出。</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8.卫生健康（类）行政事业单位医疗（款）行政单位医疗（项）：指反映财政部门集中安排的行政单位基本医疗保险缴费经费，未参加医疗保险的行政事业单位的公费医疗经费，按国家规定享受离休人员、红军老战士待遇人员的医疗经费。</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9.住房保障支出（类）住房改革支出（款）住房公积金（项）：指反映行政事业单位按人力资源的社会保障部、财政部规定的基本工资和津贴补贴以及规定比例为职工缴纳的住房公积金。</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10.基本支出：指为保障机构正常运转、完成日常工作任务而发生的人员支出和公用支出。</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11.项目支出：指在基本支出之外为完成特定行政任务和事</w:t>
      </w:r>
      <w:r w:rsidRPr="00C72ADE">
        <w:rPr>
          <w:rFonts w:ascii="仿宋_GB2312" w:eastAsia="仿宋_GB2312" w:hint="eastAsia"/>
          <w:sz w:val="32"/>
          <w:szCs w:val="32"/>
        </w:rPr>
        <w:lastRenderedPageBreak/>
        <w:t>业发展目标所发生的支出。</w:t>
      </w:r>
      <w:r w:rsidRPr="00C72ADE">
        <w:rPr>
          <w:rFonts w:eastAsia="仿宋_GB2312" w:hint="eastAsia"/>
          <w:sz w:val="32"/>
          <w:szCs w:val="32"/>
        </w:rPr>
        <w:t> </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sidRPr="00C72ADE">
        <w:rPr>
          <w:rFonts w:ascii="仿宋_GB2312" w:eastAsia="仿宋_GB2312" w:hint="eastAsia"/>
          <w:sz w:val="32"/>
          <w:szCs w:val="32"/>
        </w:rPr>
        <w:br/>
      </w:r>
      <w:r w:rsidRPr="00C72ADE">
        <w:rPr>
          <w:rFonts w:ascii="仿宋_GB2312" w:eastAsia="仿宋_GB2312" w:hint="eastAsia"/>
          <w:sz w:val="32"/>
          <w:szCs w:val="32"/>
        </w:rPr>
        <w:br/>
      </w:r>
      <w:r w:rsidR="008D2AAC">
        <w:rPr>
          <w:rFonts w:ascii="黑体" w:eastAsia="黑体" w:hAnsi="黑体" w:hint="eastAsia"/>
          <w:sz w:val="32"/>
          <w:szCs w:val="32"/>
        </w:rPr>
        <w:t xml:space="preserve">                     </w:t>
      </w:r>
      <w:r w:rsidR="008D2AAC" w:rsidRPr="00C74E32">
        <w:rPr>
          <w:rFonts w:ascii="方正小标宋简体" w:eastAsia="方正小标宋简体" w:hAnsi="黑体" w:hint="eastAsia"/>
          <w:sz w:val="36"/>
          <w:szCs w:val="36"/>
        </w:rPr>
        <w:t xml:space="preserve">  </w:t>
      </w:r>
      <w:r w:rsidRPr="00C74E32">
        <w:rPr>
          <w:rFonts w:ascii="方正小标宋简体" w:eastAsia="方正小标宋简体" w:hAnsi="黑体" w:hint="eastAsia"/>
          <w:sz w:val="36"/>
          <w:szCs w:val="36"/>
        </w:rPr>
        <w:t>第四部分</w:t>
      </w:r>
      <w:r w:rsidRPr="00C74E32">
        <w:rPr>
          <w:rFonts w:eastAsia="方正小标宋简体" w:hint="eastAsia"/>
          <w:sz w:val="36"/>
          <w:szCs w:val="36"/>
        </w:rPr>
        <w:t> </w:t>
      </w:r>
      <w:r w:rsidRPr="00C74E32">
        <w:rPr>
          <w:rFonts w:ascii="方正小标宋简体" w:eastAsia="方正小标宋简体" w:hAnsi="黑体" w:hint="eastAsia"/>
          <w:sz w:val="36"/>
          <w:szCs w:val="36"/>
        </w:rPr>
        <w:t>附件</w:t>
      </w:r>
      <w:r w:rsidRPr="00C72ADE">
        <w:rPr>
          <w:rFonts w:ascii="仿宋_GB2312" w:eastAsia="仿宋_GB2312" w:hint="eastAsia"/>
          <w:sz w:val="32"/>
          <w:szCs w:val="32"/>
        </w:rPr>
        <w:br/>
      </w:r>
    </w:p>
    <w:p w:rsidR="008D2AAC" w:rsidRDefault="00C72ADE" w:rsidP="008D2AAC">
      <w:pPr>
        <w:spacing w:line="576" w:lineRule="exact"/>
        <w:rPr>
          <w:rFonts w:ascii="仿宋_GB2312" w:eastAsia="仿宋_GB2312"/>
          <w:sz w:val="32"/>
          <w:szCs w:val="32"/>
        </w:rPr>
      </w:pPr>
      <w:r w:rsidRPr="00C72ADE">
        <w:rPr>
          <w:rFonts w:ascii="仿宋_GB2312" w:eastAsia="仿宋_GB2312" w:hint="eastAsia"/>
          <w:sz w:val="32"/>
          <w:szCs w:val="32"/>
        </w:rPr>
        <w:t>附件1</w:t>
      </w:r>
      <w:r w:rsidR="008D2AAC">
        <w:rPr>
          <w:rFonts w:ascii="仿宋_GB2312" w:eastAsia="仿宋_GB2312" w:hint="eastAsia"/>
          <w:sz w:val="32"/>
          <w:szCs w:val="32"/>
        </w:rPr>
        <w:t>：</w:t>
      </w:r>
    </w:p>
    <w:p w:rsidR="008D2AAC" w:rsidRPr="008D2AAC" w:rsidRDefault="00C72ADE" w:rsidP="00C74E32">
      <w:pPr>
        <w:spacing w:line="576" w:lineRule="exact"/>
        <w:jc w:val="center"/>
        <w:rPr>
          <w:rFonts w:ascii="方正小标宋简体" w:eastAsia="方正小标宋简体"/>
          <w:sz w:val="32"/>
          <w:szCs w:val="32"/>
        </w:rPr>
      </w:pPr>
      <w:r w:rsidRPr="008D2AAC">
        <w:rPr>
          <w:rFonts w:ascii="方正小标宋简体" w:eastAsia="方正小标宋简体" w:hint="eastAsia"/>
          <w:sz w:val="32"/>
          <w:szCs w:val="32"/>
        </w:rPr>
        <w:t>市重点建设项目事务中心2019年部门整体支出绩效评价报告</w:t>
      </w:r>
    </w:p>
    <w:p w:rsidR="00C74E32" w:rsidRDefault="00C74E32" w:rsidP="00C74E32">
      <w:pPr>
        <w:spacing w:line="576" w:lineRule="exact"/>
        <w:ind w:firstLineChars="200" w:firstLine="640"/>
        <w:rPr>
          <w:rFonts w:ascii="黑体" w:eastAsia="黑体" w:hAnsi="黑体"/>
          <w:sz w:val="32"/>
          <w:szCs w:val="32"/>
        </w:rPr>
      </w:pPr>
    </w:p>
    <w:p w:rsidR="008D2AAC" w:rsidRPr="008D2AAC" w:rsidRDefault="00C72ADE" w:rsidP="00C74E32">
      <w:pPr>
        <w:spacing w:line="576" w:lineRule="exact"/>
        <w:ind w:firstLineChars="200" w:firstLine="640"/>
        <w:rPr>
          <w:rFonts w:ascii="黑体" w:eastAsia="黑体" w:hAnsi="黑体"/>
          <w:sz w:val="32"/>
          <w:szCs w:val="32"/>
        </w:rPr>
      </w:pPr>
      <w:r w:rsidRPr="008D2AAC">
        <w:rPr>
          <w:rFonts w:ascii="黑体" w:eastAsia="黑体" w:hAnsi="黑体" w:hint="eastAsia"/>
          <w:sz w:val="32"/>
          <w:szCs w:val="32"/>
        </w:rPr>
        <w:t>一、部门（单位）概况</w:t>
      </w:r>
    </w:p>
    <w:p w:rsidR="008D2AAC" w:rsidRDefault="00C72ADE" w:rsidP="008D2AAC">
      <w:pPr>
        <w:spacing w:line="576" w:lineRule="exact"/>
        <w:ind w:firstLineChars="150" w:firstLine="480"/>
        <w:rPr>
          <w:rFonts w:ascii="仿宋_GB2312" w:eastAsia="仿宋_GB2312"/>
          <w:sz w:val="32"/>
          <w:szCs w:val="32"/>
        </w:rPr>
      </w:pPr>
      <w:r w:rsidRPr="008D2AAC">
        <w:rPr>
          <w:rFonts w:ascii="楷体_GB2312" w:eastAsia="楷体_GB2312" w:hint="eastAsia"/>
          <w:sz w:val="32"/>
          <w:szCs w:val="32"/>
        </w:rPr>
        <w:t>（一）机构组成</w:t>
      </w:r>
    </w:p>
    <w:p w:rsidR="007B676F" w:rsidRPr="00C72ADE" w:rsidRDefault="00C72ADE" w:rsidP="008D2AAC">
      <w:pPr>
        <w:spacing w:line="576" w:lineRule="exact"/>
        <w:ind w:firstLineChars="200" w:firstLine="640"/>
        <w:rPr>
          <w:rFonts w:ascii="仿宋_GB2312" w:eastAsia="仿宋_GB2312"/>
          <w:sz w:val="32"/>
          <w:szCs w:val="32"/>
        </w:rPr>
      </w:pPr>
      <w:r w:rsidRPr="00C72ADE">
        <w:rPr>
          <w:rFonts w:ascii="仿宋_GB2312" w:eastAsia="仿宋_GB2312" w:hint="eastAsia"/>
          <w:sz w:val="32"/>
          <w:szCs w:val="32"/>
        </w:rPr>
        <w:t>本单位属参公管理的一级核算单位，内设综合科、规划编制</w:t>
      </w:r>
      <w:r w:rsidRPr="00C72ADE">
        <w:rPr>
          <w:rFonts w:ascii="仿宋_GB2312" w:eastAsia="仿宋_GB2312" w:hint="eastAsia"/>
          <w:sz w:val="32"/>
          <w:szCs w:val="32"/>
        </w:rPr>
        <w:lastRenderedPageBreak/>
        <w:t>事务科、项目推进事务科、建设协调事务科等4个职能科室；领导职数设主任1名，副主任2名，正科级领导职数4名，副科级领导职数2名。工勤人员事业编制1名。</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008D2AAC" w:rsidRPr="008D2AAC">
        <w:rPr>
          <w:rFonts w:ascii="楷体_GB2312" w:eastAsia="楷体_GB2312" w:hint="eastAsia"/>
          <w:sz w:val="32"/>
          <w:szCs w:val="32"/>
        </w:rPr>
        <w:t xml:space="preserve"> </w:t>
      </w:r>
      <w:r w:rsidRPr="008D2AAC">
        <w:rPr>
          <w:rFonts w:ascii="楷体_GB2312" w:eastAsia="楷体_GB2312" w:hint="eastAsia"/>
          <w:sz w:val="32"/>
          <w:szCs w:val="32"/>
        </w:rPr>
        <w:t>（二）机构职能</w:t>
      </w:r>
      <w:r w:rsidRPr="00C72ADE">
        <w:rPr>
          <w:rFonts w:ascii="仿宋_GB2312" w:eastAsia="仿宋_GB2312" w:hint="eastAsia"/>
          <w:sz w:val="32"/>
          <w:szCs w:val="32"/>
        </w:rPr>
        <w:br/>
        <w:t>市重点建设项目事务中心主要职责为负责做好全市铁路建设发展规划和年度计划相关事务工作及承担铁路建设的征地拆迁、建设环境保障等综合协调服务。</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008D2AAC" w:rsidRPr="008D2AAC">
        <w:rPr>
          <w:rFonts w:ascii="楷体_GB2312" w:eastAsia="楷体_GB2312" w:hint="eastAsia"/>
          <w:sz w:val="32"/>
          <w:szCs w:val="32"/>
        </w:rPr>
        <w:t xml:space="preserve">  </w:t>
      </w:r>
      <w:r w:rsidRPr="008D2AAC">
        <w:rPr>
          <w:rFonts w:ascii="楷体_GB2312" w:eastAsia="楷体_GB2312" w:hint="eastAsia"/>
          <w:sz w:val="32"/>
          <w:szCs w:val="32"/>
        </w:rPr>
        <w:t>（三）人员概况</w:t>
      </w:r>
      <w:r w:rsidRPr="00C72ADE">
        <w:rPr>
          <w:rFonts w:ascii="仿宋_GB2312" w:eastAsia="仿宋_GB2312" w:hint="eastAsia"/>
          <w:sz w:val="32"/>
          <w:szCs w:val="32"/>
        </w:rPr>
        <w:br/>
        <w:t>人员：事业编制13名，工勤编制1名，当年新增事业人员2人，退休人员1人。实际在岗人员13人，年末退休人员7名。</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8D2AAC">
        <w:rPr>
          <w:rFonts w:ascii="黑体" w:eastAsia="黑体" w:hAnsi="黑体" w:hint="eastAsia"/>
          <w:sz w:val="32"/>
          <w:szCs w:val="32"/>
        </w:rPr>
        <w:t>二、部门财政资金收支情况</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（1）单位本年度实际收到的一般公共预算财政拨款收入454.7万元，财政部门拨款对账单454.7万元，差额0</w:t>
      </w:r>
      <w:r w:rsidRPr="00C72ADE">
        <w:rPr>
          <w:rFonts w:eastAsia="仿宋_GB2312" w:hint="eastAsia"/>
          <w:sz w:val="32"/>
          <w:szCs w:val="32"/>
        </w:rPr>
        <w:t> </w:t>
      </w:r>
      <w:r w:rsidRPr="00C72ADE">
        <w:rPr>
          <w:rFonts w:ascii="仿宋_GB2312" w:eastAsia="仿宋_GB2312" w:hint="eastAsia"/>
          <w:sz w:val="32"/>
          <w:szCs w:val="32"/>
        </w:rPr>
        <w:t>万元。</w:t>
      </w:r>
      <w:r w:rsidRPr="00C72ADE">
        <w:rPr>
          <w:rFonts w:ascii="仿宋_GB2312" w:eastAsia="仿宋_GB2312" w:hint="eastAsia"/>
          <w:sz w:val="32"/>
          <w:szCs w:val="32"/>
        </w:rPr>
        <w:br/>
        <w:t>（2）单位本年度政府性基金预算财政拨款收入</w:t>
      </w:r>
      <w:r w:rsidRPr="00C72ADE">
        <w:rPr>
          <w:rFonts w:eastAsia="仿宋_GB2312" w:hint="eastAsia"/>
          <w:sz w:val="32"/>
          <w:szCs w:val="32"/>
        </w:rPr>
        <w:t> </w:t>
      </w:r>
      <w:r w:rsidRPr="00C72ADE">
        <w:rPr>
          <w:rFonts w:ascii="仿宋_GB2312" w:eastAsia="仿宋_GB2312" w:hint="eastAsia"/>
          <w:sz w:val="32"/>
          <w:szCs w:val="32"/>
        </w:rPr>
        <w:t>5000万元，财政部门拨款对账单5000万元，差额0万元。</w:t>
      </w:r>
      <w:r w:rsidRPr="00C72ADE">
        <w:rPr>
          <w:rFonts w:ascii="仿宋_GB2312" w:eastAsia="仿宋_GB2312" w:hint="eastAsia"/>
          <w:sz w:val="32"/>
          <w:szCs w:val="32"/>
        </w:rPr>
        <w:br/>
      </w:r>
      <w:r w:rsidR="008D2AAC">
        <w:rPr>
          <w:rFonts w:ascii="楷体_GB2312" w:eastAsia="楷体_GB2312" w:hint="eastAsia"/>
          <w:sz w:val="32"/>
          <w:szCs w:val="32"/>
        </w:rPr>
        <w:t xml:space="preserve">   </w:t>
      </w:r>
      <w:r w:rsidR="008D2AAC" w:rsidRPr="008D2AAC">
        <w:rPr>
          <w:rFonts w:ascii="楷体_GB2312" w:eastAsia="楷体_GB2312" w:hint="eastAsia"/>
          <w:sz w:val="32"/>
          <w:szCs w:val="32"/>
        </w:rPr>
        <w:t>（二）部门财政资金支出情况</w:t>
      </w:r>
      <w:r w:rsidRPr="008D2AAC">
        <w:rPr>
          <w:rFonts w:ascii="楷体_GB2312" w:eastAsia="楷体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广元市重点办本年支出15715.22万元，其中：基本支出250.66万元（人员经费支出200.66万元，日常公用经费支出50万元），项目支出1546.46万元，本年度较上年度支出增加11411.41万元，总支出增加265.15%，增加的主要原因是去年结转的项目资金在当年开支。</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8D2AAC">
        <w:rPr>
          <w:rFonts w:ascii="黑体" w:eastAsia="黑体" w:hAnsi="黑体" w:hint="eastAsia"/>
          <w:sz w:val="32"/>
          <w:szCs w:val="32"/>
        </w:rPr>
        <w:t>三、部门整体预算绩效管理情况</w:t>
      </w:r>
      <w:r w:rsidRPr="00C72ADE">
        <w:rPr>
          <w:rFonts w:ascii="仿宋_GB2312" w:eastAsia="仿宋_GB2312" w:hint="eastAsia"/>
          <w:sz w:val="32"/>
          <w:szCs w:val="32"/>
        </w:rPr>
        <w:br/>
      </w:r>
      <w:r w:rsidR="008D2AAC">
        <w:rPr>
          <w:rFonts w:ascii="仿宋_GB2312" w:eastAsia="仿宋_GB2312" w:hint="eastAsia"/>
          <w:sz w:val="32"/>
          <w:szCs w:val="32"/>
        </w:rPr>
        <w:lastRenderedPageBreak/>
        <w:t xml:space="preserve"> </w:t>
      </w:r>
      <w:r w:rsidR="008D2AAC" w:rsidRPr="008D2AAC">
        <w:rPr>
          <w:rFonts w:ascii="楷体_GB2312" w:eastAsia="楷体_GB2312" w:hint="eastAsia"/>
          <w:sz w:val="32"/>
          <w:szCs w:val="32"/>
        </w:rPr>
        <w:t xml:space="preserve">  </w:t>
      </w:r>
      <w:r w:rsidRPr="008D2AAC">
        <w:rPr>
          <w:rFonts w:ascii="楷体_GB2312" w:eastAsia="楷体_GB2312" w:hint="eastAsia"/>
          <w:sz w:val="32"/>
          <w:szCs w:val="32"/>
        </w:rPr>
        <w:t>（一）部门预算管理</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本年度年初预算收入194.1万元，2018年度结余10361.05万元，调整后合计预算总收入10555.15万元。</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本年实际收到财政拨款收入15816.56万元，主要原因为动车所资金增加5000万，其他收入增加0.81万元。</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本年度预算支出10555.15万元。其中，按使用情况分：基本支出174.88万元，项目支出10380.27万元；按功能分：一般公共服务支出151.23万元，社会保障和就业支出17.99万元，医疗卫生与计划生育支出6.75万元，农林水支出3.72，交通运输支出10361，住房保障支出14.46万元。</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本年实际支出15715.22万元（其中：基本支出250.66万元，项目支出15464.56万元）；按支出类别：工资及福利支出200.66万元，比上年下降7.4%；商品和服务支出50万元，比上年下降19.39万元，下降28%。</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本年度年末结转结余100.13万元，较上年度结转结余减少10259.73万元，降幅99.02%。主要原因：去年动车所项目资金拨入后暂未拨出，在当年拨出。</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项目支出结余100万元属项目工作未完经费。</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8D2AAC">
        <w:rPr>
          <w:rFonts w:ascii="黑体" w:eastAsia="黑体" w:hAnsi="黑体" w:hint="eastAsia"/>
          <w:sz w:val="32"/>
          <w:szCs w:val="32"/>
        </w:rPr>
        <w:t>四、评价结论及建议</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8D2AAC">
        <w:rPr>
          <w:rFonts w:ascii="楷体_GB2312" w:eastAsia="楷体_GB2312" w:hint="eastAsia"/>
          <w:sz w:val="32"/>
          <w:szCs w:val="32"/>
        </w:rPr>
        <w:t>（一）评价结论</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C72ADE">
        <w:rPr>
          <w:rFonts w:ascii="仿宋_GB2312" w:eastAsia="仿宋_GB2312" w:hint="eastAsia"/>
          <w:sz w:val="32"/>
          <w:szCs w:val="32"/>
        </w:rPr>
        <w:t>从整体情况来看，我单位严格按照年初预算及年中追加预算资金用途使用支出，在使用过程中严格按照各项规章</w:t>
      </w:r>
      <w:r w:rsidRPr="00C72ADE">
        <w:rPr>
          <w:rFonts w:eastAsia="仿宋_GB2312" w:hint="eastAsia"/>
          <w:sz w:val="32"/>
          <w:szCs w:val="32"/>
        </w:rPr>
        <w:t> </w:t>
      </w:r>
      <w:r w:rsidRPr="00C72ADE">
        <w:rPr>
          <w:rFonts w:ascii="仿宋_GB2312" w:eastAsia="仿宋_GB2312" w:hint="eastAsia"/>
          <w:sz w:val="32"/>
          <w:szCs w:val="32"/>
        </w:rPr>
        <w:t>制度、制</w:t>
      </w:r>
      <w:r w:rsidRPr="00C72ADE">
        <w:rPr>
          <w:rFonts w:ascii="仿宋_GB2312" w:eastAsia="仿宋_GB2312" w:hint="eastAsia"/>
          <w:sz w:val="32"/>
          <w:szCs w:val="32"/>
        </w:rPr>
        <w:lastRenderedPageBreak/>
        <w:t>定详细的使用方案，按时按质的完成了本年度工作任务。</w:t>
      </w:r>
      <w:r w:rsidRPr="00C72ADE">
        <w:rPr>
          <w:rFonts w:ascii="仿宋_GB2312" w:eastAsia="仿宋_GB2312" w:hint="eastAsia"/>
          <w:sz w:val="32"/>
          <w:szCs w:val="32"/>
        </w:rPr>
        <w:br/>
      </w:r>
      <w:r w:rsidR="008D2AAC" w:rsidRPr="008D2AAC">
        <w:rPr>
          <w:rFonts w:ascii="楷体_GB2312" w:eastAsia="楷体_GB2312" w:hint="eastAsia"/>
          <w:sz w:val="32"/>
          <w:szCs w:val="32"/>
        </w:rPr>
        <w:t xml:space="preserve">   （二）存在问题</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008D2AAC" w:rsidRPr="008D2AAC">
        <w:rPr>
          <w:rFonts w:ascii="仿宋_GB2312" w:eastAsia="仿宋_GB2312" w:hint="eastAsia"/>
          <w:b/>
          <w:sz w:val="32"/>
          <w:szCs w:val="32"/>
        </w:rPr>
        <w:t xml:space="preserve"> </w:t>
      </w:r>
      <w:r w:rsidRPr="008D2AAC">
        <w:rPr>
          <w:rFonts w:ascii="仿宋_GB2312" w:eastAsia="仿宋_GB2312" w:hint="eastAsia"/>
          <w:b/>
          <w:sz w:val="32"/>
          <w:szCs w:val="32"/>
        </w:rPr>
        <w:t>一是</w:t>
      </w:r>
      <w:r w:rsidRPr="00C72ADE">
        <w:rPr>
          <w:rFonts w:ascii="仿宋_GB2312" w:eastAsia="仿宋_GB2312" w:hint="eastAsia"/>
          <w:sz w:val="32"/>
          <w:szCs w:val="32"/>
        </w:rPr>
        <w:t>预算编制有待更严格执行。预算编制与实际支出项目有的存在差异。</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8D2AAC">
        <w:rPr>
          <w:rFonts w:ascii="仿宋_GB2312" w:eastAsia="仿宋_GB2312" w:hint="eastAsia"/>
          <w:b/>
          <w:sz w:val="32"/>
          <w:szCs w:val="32"/>
        </w:rPr>
        <w:t>二是</w:t>
      </w:r>
      <w:r w:rsidRPr="00C72ADE">
        <w:rPr>
          <w:rFonts w:ascii="仿宋_GB2312" w:eastAsia="仿宋_GB2312" w:hint="eastAsia"/>
          <w:sz w:val="32"/>
          <w:szCs w:val="32"/>
        </w:rPr>
        <w:t>固定资产管理有待进一步规范。</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008D2AAC" w:rsidRPr="008D2AAC">
        <w:rPr>
          <w:rFonts w:ascii="楷体_GB2312" w:eastAsia="楷体_GB2312" w:hint="eastAsia"/>
          <w:sz w:val="32"/>
          <w:szCs w:val="32"/>
        </w:rPr>
        <w:t>（三）改进建议</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8D2AAC">
        <w:rPr>
          <w:rFonts w:ascii="仿宋_GB2312" w:eastAsia="仿宋_GB2312" w:hint="eastAsia"/>
          <w:b/>
          <w:sz w:val="32"/>
          <w:szCs w:val="32"/>
        </w:rPr>
        <w:t>一是</w:t>
      </w:r>
      <w:r w:rsidRPr="00C72ADE">
        <w:rPr>
          <w:rFonts w:ascii="仿宋_GB2312" w:eastAsia="仿宋_GB2312" w:hint="eastAsia"/>
          <w:sz w:val="32"/>
          <w:szCs w:val="32"/>
        </w:rPr>
        <w:t>按照预算规定的项目和用途严格财务审核，经费支出严格按预算规定项目的财务支出内容进行财务核算，在预算金额内严格控制费用的支出。</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8D2AAC">
        <w:rPr>
          <w:rFonts w:ascii="仿宋_GB2312" w:eastAsia="仿宋_GB2312" w:hint="eastAsia"/>
          <w:b/>
          <w:sz w:val="32"/>
          <w:szCs w:val="32"/>
        </w:rPr>
        <w:t>二是</w:t>
      </w:r>
      <w:r w:rsidRPr="00C72ADE">
        <w:rPr>
          <w:rFonts w:ascii="仿宋_GB2312" w:eastAsia="仿宋_GB2312" w:hint="eastAsia"/>
          <w:sz w:val="32"/>
          <w:szCs w:val="32"/>
        </w:rPr>
        <w:t>预算财务分析常态化，定期做好预算支出财务分析，做好部门整体支出预算评价工作。</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8D2AAC">
        <w:rPr>
          <w:rFonts w:ascii="仿宋_GB2312" w:eastAsia="仿宋_GB2312" w:hint="eastAsia"/>
          <w:b/>
          <w:sz w:val="32"/>
          <w:szCs w:val="32"/>
        </w:rPr>
        <w:t>三是</w:t>
      </w:r>
      <w:r w:rsidRPr="00C72ADE">
        <w:rPr>
          <w:rFonts w:ascii="仿宋_GB2312" w:eastAsia="仿宋_GB2312" w:hint="eastAsia"/>
          <w:sz w:val="32"/>
          <w:szCs w:val="32"/>
        </w:rPr>
        <w:t>加强资产管理。对固定资产进行一次全面清查盘点，建立固定资产卡片，切实做到账卡相符、账物相符。</w:t>
      </w:r>
      <w:r w:rsidRPr="00C72ADE">
        <w:rPr>
          <w:rFonts w:ascii="仿宋_GB2312" w:eastAsia="仿宋_GB2312" w:hint="eastAsia"/>
          <w:sz w:val="32"/>
          <w:szCs w:val="32"/>
        </w:rPr>
        <w:br/>
      </w:r>
      <w:r w:rsidR="008D2AAC">
        <w:rPr>
          <w:rFonts w:ascii="仿宋_GB2312" w:eastAsia="仿宋_GB2312" w:hint="eastAsia"/>
          <w:sz w:val="32"/>
          <w:szCs w:val="32"/>
        </w:rPr>
        <w:t xml:space="preserve">    </w:t>
      </w:r>
      <w:r w:rsidRPr="008D2AAC">
        <w:rPr>
          <w:rFonts w:ascii="仿宋_GB2312" w:eastAsia="仿宋_GB2312" w:hint="eastAsia"/>
          <w:b/>
          <w:sz w:val="32"/>
          <w:szCs w:val="32"/>
        </w:rPr>
        <w:t>四是</w:t>
      </w:r>
      <w:r w:rsidRPr="00C72ADE">
        <w:rPr>
          <w:rFonts w:ascii="仿宋_GB2312" w:eastAsia="仿宋_GB2312" w:hint="eastAsia"/>
          <w:sz w:val="32"/>
          <w:szCs w:val="32"/>
        </w:rPr>
        <w:t>进一步完善相关制度，加大监督管理力度。</w:t>
      </w:r>
    </w:p>
    <w:sectPr w:rsidR="007B676F" w:rsidRPr="00C72ADE" w:rsidSect="00AA6930">
      <w:footerReference w:type="even" r:id="rId8"/>
      <w:footerReference w:type="default" r:id="rId9"/>
      <w:pgSz w:w="11900" w:h="16840" w:code="9"/>
      <w:pgMar w:top="2098" w:right="1474" w:bottom="1985" w:left="1588" w:header="0" w:footer="1418"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8D1" w:rsidRDefault="009A38D1" w:rsidP="004F1595">
      <w:r>
        <w:separator/>
      </w:r>
    </w:p>
  </w:endnote>
  <w:endnote w:type="continuationSeparator" w:id="1">
    <w:p w:rsidR="009A38D1" w:rsidRDefault="009A38D1" w:rsidP="004F1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95" w:rsidRDefault="00277C1E">
    <w:pPr>
      <w:pStyle w:val="a3"/>
      <w:framePr w:wrap="around" w:vAnchor="text" w:hAnchor="margin" w:xAlign="outside" w:y="1"/>
      <w:rPr>
        <w:rStyle w:val="a5"/>
      </w:rPr>
    </w:pPr>
    <w:r>
      <w:rPr>
        <w:rStyle w:val="a5"/>
      </w:rPr>
      <w:fldChar w:fldCharType="begin"/>
    </w:r>
    <w:r w:rsidR="002072F1">
      <w:rPr>
        <w:rStyle w:val="a5"/>
      </w:rPr>
      <w:instrText xml:space="preserve">PAGE  </w:instrText>
    </w:r>
    <w:r>
      <w:rPr>
        <w:rStyle w:val="a5"/>
      </w:rPr>
      <w:fldChar w:fldCharType="end"/>
    </w:r>
  </w:p>
  <w:p w:rsidR="004F1595" w:rsidRDefault="004F159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95" w:rsidRDefault="002072F1">
    <w:pPr>
      <w:pStyle w:val="a3"/>
      <w:framePr w:wrap="around" w:vAnchor="text" w:hAnchor="margin" w:xAlign="outside" w:y="1"/>
      <w:rPr>
        <w:rStyle w:val="a5"/>
        <w:sz w:val="24"/>
        <w:szCs w:val="24"/>
      </w:rPr>
    </w:pPr>
    <w:r>
      <w:rPr>
        <w:rStyle w:val="a5"/>
        <w:sz w:val="24"/>
        <w:szCs w:val="24"/>
      </w:rPr>
      <w:t>—</w:t>
    </w:r>
    <w:r w:rsidR="00277C1E">
      <w:rPr>
        <w:rStyle w:val="a5"/>
        <w:sz w:val="24"/>
        <w:szCs w:val="24"/>
      </w:rPr>
      <w:fldChar w:fldCharType="begin"/>
    </w:r>
    <w:r>
      <w:rPr>
        <w:rStyle w:val="a5"/>
        <w:sz w:val="24"/>
        <w:szCs w:val="24"/>
      </w:rPr>
      <w:instrText xml:space="preserve">PAGE  </w:instrText>
    </w:r>
    <w:r w:rsidR="00277C1E">
      <w:rPr>
        <w:rStyle w:val="a5"/>
        <w:sz w:val="24"/>
        <w:szCs w:val="24"/>
      </w:rPr>
      <w:fldChar w:fldCharType="separate"/>
    </w:r>
    <w:r w:rsidR="005A32EF">
      <w:rPr>
        <w:rStyle w:val="a5"/>
        <w:noProof/>
        <w:sz w:val="24"/>
        <w:szCs w:val="24"/>
      </w:rPr>
      <w:t>2</w:t>
    </w:r>
    <w:r w:rsidR="00277C1E">
      <w:rPr>
        <w:rStyle w:val="a5"/>
        <w:sz w:val="24"/>
        <w:szCs w:val="24"/>
      </w:rPr>
      <w:fldChar w:fldCharType="end"/>
    </w:r>
    <w:r>
      <w:rPr>
        <w:rStyle w:val="a5"/>
        <w:sz w:val="24"/>
        <w:szCs w:val="24"/>
      </w:rPr>
      <w:t>—</w:t>
    </w:r>
  </w:p>
  <w:p w:rsidR="004F1595" w:rsidRDefault="004F159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8D1" w:rsidRDefault="009A38D1" w:rsidP="004F1595">
      <w:r>
        <w:separator/>
      </w:r>
    </w:p>
  </w:footnote>
  <w:footnote w:type="continuationSeparator" w:id="1">
    <w:p w:rsidR="009A38D1" w:rsidRDefault="009A38D1" w:rsidP="004F1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FFC08A"/>
    <w:multiLevelType w:val="singleLevel"/>
    <w:tmpl w:val="E6FFC08A"/>
    <w:lvl w:ilvl="0">
      <w:start w:val="1"/>
      <w:numFmt w:val="chineseCounting"/>
      <w:suff w:val="nothing"/>
      <w:lvlText w:val="%1、"/>
      <w:lvlJc w:val="left"/>
      <w:pPr>
        <w:ind w:left="0" w:firstLine="0"/>
      </w:pPr>
    </w:lvl>
  </w:abstractNum>
  <w:abstractNum w:abstractNumId="1">
    <w:nsid w:val="0BD236B6"/>
    <w:multiLevelType w:val="hybridMultilevel"/>
    <w:tmpl w:val="8098AF74"/>
    <w:lvl w:ilvl="0" w:tplc="EEDC2F5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C2B4048"/>
    <w:multiLevelType w:val="hybridMultilevel"/>
    <w:tmpl w:val="699AC928"/>
    <w:lvl w:ilvl="0" w:tplc="7046CE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6B677D4"/>
    <w:multiLevelType w:val="multilevel"/>
    <w:tmpl w:val="76B677D4"/>
    <w:lvl w:ilvl="0">
      <w:start w:val="1"/>
      <w:numFmt w:val="japaneseCounting"/>
      <w:lvlText w:val="%1、"/>
      <w:lvlJc w:val="left"/>
      <w:pPr>
        <w:ind w:left="1356" w:hanging="720"/>
      </w:pPr>
      <w:rPr>
        <w:rFonts w:hint="default"/>
      </w:rPr>
    </w:lvl>
    <w:lvl w:ilvl="1">
      <w:start w:val="1"/>
      <w:numFmt w:val="lowerLetter"/>
      <w:lvlText w:val="%2)"/>
      <w:lvlJc w:val="left"/>
      <w:pPr>
        <w:ind w:left="1476" w:hanging="420"/>
      </w:pPr>
    </w:lvl>
    <w:lvl w:ilvl="2">
      <w:start w:val="1"/>
      <w:numFmt w:val="lowerRoman"/>
      <w:lvlText w:val="%3."/>
      <w:lvlJc w:val="right"/>
      <w:pPr>
        <w:ind w:left="1896" w:hanging="420"/>
      </w:pPr>
    </w:lvl>
    <w:lvl w:ilvl="3">
      <w:start w:val="1"/>
      <w:numFmt w:val="decimal"/>
      <w:lvlText w:val="%4."/>
      <w:lvlJc w:val="left"/>
      <w:pPr>
        <w:ind w:left="2316" w:hanging="420"/>
      </w:pPr>
    </w:lvl>
    <w:lvl w:ilvl="4">
      <w:start w:val="1"/>
      <w:numFmt w:val="lowerLetter"/>
      <w:lvlText w:val="%5)"/>
      <w:lvlJc w:val="left"/>
      <w:pPr>
        <w:ind w:left="2736" w:hanging="420"/>
      </w:pPr>
    </w:lvl>
    <w:lvl w:ilvl="5">
      <w:start w:val="1"/>
      <w:numFmt w:val="lowerRoman"/>
      <w:lvlText w:val="%6."/>
      <w:lvlJc w:val="right"/>
      <w:pPr>
        <w:ind w:left="3156" w:hanging="420"/>
      </w:pPr>
    </w:lvl>
    <w:lvl w:ilvl="6">
      <w:start w:val="1"/>
      <w:numFmt w:val="decimal"/>
      <w:lvlText w:val="%7."/>
      <w:lvlJc w:val="left"/>
      <w:pPr>
        <w:ind w:left="3576" w:hanging="420"/>
      </w:pPr>
    </w:lvl>
    <w:lvl w:ilvl="7">
      <w:start w:val="1"/>
      <w:numFmt w:val="lowerLetter"/>
      <w:lvlText w:val="%8)"/>
      <w:lvlJc w:val="left"/>
      <w:pPr>
        <w:ind w:left="3996" w:hanging="420"/>
      </w:pPr>
    </w:lvl>
    <w:lvl w:ilvl="8">
      <w:start w:val="1"/>
      <w:numFmt w:val="lowerRoman"/>
      <w:lvlText w:val="%9."/>
      <w:lvlJc w:val="right"/>
      <w:pPr>
        <w:ind w:left="4416" w:hanging="420"/>
      </w:pPr>
    </w:lvl>
  </w:abstractNum>
  <w:num w:numId="1">
    <w:abstractNumId w:val="3"/>
  </w:num>
  <w:num w:numId="2">
    <w:abstractNumId w:val="0"/>
    <w:lvlOverride w:ilvl="0">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67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2DC9"/>
    <w:rsid w:val="0000312B"/>
    <w:rsid w:val="000162FF"/>
    <w:rsid w:val="00031A5C"/>
    <w:rsid w:val="00033D11"/>
    <w:rsid w:val="000622D1"/>
    <w:rsid w:val="0007405E"/>
    <w:rsid w:val="000747A6"/>
    <w:rsid w:val="00090D5D"/>
    <w:rsid w:val="000D08B6"/>
    <w:rsid w:val="000F2F41"/>
    <w:rsid w:val="00115FE0"/>
    <w:rsid w:val="00127372"/>
    <w:rsid w:val="00135D68"/>
    <w:rsid w:val="00140AE5"/>
    <w:rsid w:val="00142C81"/>
    <w:rsid w:val="001454A2"/>
    <w:rsid w:val="0015042F"/>
    <w:rsid w:val="00150F78"/>
    <w:rsid w:val="001663A4"/>
    <w:rsid w:val="00194429"/>
    <w:rsid w:val="00197D27"/>
    <w:rsid w:val="001B393C"/>
    <w:rsid w:val="001C3865"/>
    <w:rsid w:val="001D76DF"/>
    <w:rsid w:val="001F246B"/>
    <w:rsid w:val="002072F1"/>
    <w:rsid w:val="00212526"/>
    <w:rsid w:val="0021511A"/>
    <w:rsid w:val="00234BA5"/>
    <w:rsid w:val="002373C8"/>
    <w:rsid w:val="0024181C"/>
    <w:rsid w:val="00277C1E"/>
    <w:rsid w:val="002940DC"/>
    <w:rsid w:val="002A5AF4"/>
    <w:rsid w:val="002E28D3"/>
    <w:rsid w:val="002E3447"/>
    <w:rsid w:val="002E49C6"/>
    <w:rsid w:val="002E4B1A"/>
    <w:rsid w:val="00317FE8"/>
    <w:rsid w:val="00335997"/>
    <w:rsid w:val="0036376D"/>
    <w:rsid w:val="00365373"/>
    <w:rsid w:val="003666AE"/>
    <w:rsid w:val="00387225"/>
    <w:rsid w:val="00391A3B"/>
    <w:rsid w:val="0039426E"/>
    <w:rsid w:val="003A29F1"/>
    <w:rsid w:val="003A7B34"/>
    <w:rsid w:val="003C4191"/>
    <w:rsid w:val="003F280E"/>
    <w:rsid w:val="003F5DE0"/>
    <w:rsid w:val="00406EE7"/>
    <w:rsid w:val="00432CF8"/>
    <w:rsid w:val="00464ED5"/>
    <w:rsid w:val="00465F9F"/>
    <w:rsid w:val="004662D4"/>
    <w:rsid w:val="0048307E"/>
    <w:rsid w:val="0048356A"/>
    <w:rsid w:val="004876FF"/>
    <w:rsid w:val="004A314E"/>
    <w:rsid w:val="004B2DC9"/>
    <w:rsid w:val="004C119D"/>
    <w:rsid w:val="004C4FB7"/>
    <w:rsid w:val="004D2792"/>
    <w:rsid w:val="004D7595"/>
    <w:rsid w:val="004E4111"/>
    <w:rsid w:val="004F00A7"/>
    <w:rsid w:val="004F1595"/>
    <w:rsid w:val="0050384A"/>
    <w:rsid w:val="00533398"/>
    <w:rsid w:val="00563A46"/>
    <w:rsid w:val="005800DE"/>
    <w:rsid w:val="00585E3A"/>
    <w:rsid w:val="005917D7"/>
    <w:rsid w:val="005A10A8"/>
    <w:rsid w:val="005A32EF"/>
    <w:rsid w:val="005B737C"/>
    <w:rsid w:val="005C37BF"/>
    <w:rsid w:val="005E5320"/>
    <w:rsid w:val="005F3049"/>
    <w:rsid w:val="006026C2"/>
    <w:rsid w:val="00603743"/>
    <w:rsid w:val="0061464D"/>
    <w:rsid w:val="0065673D"/>
    <w:rsid w:val="00660B1E"/>
    <w:rsid w:val="006626C0"/>
    <w:rsid w:val="006E6ECD"/>
    <w:rsid w:val="007262E3"/>
    <w:rsid w:val="00733C8F"/>
    <w:rsid w:val="00750409"/>
    <w:rsid w:val="007622DD"/>
    <w:rsid w:val="00775D01"/>
    <w:rsid w:val="00780CE3"/>
    <w:rsid w:val="007A5142"/>
    <w:rsid w:val="007B39E2"/>
    <w:rsid w:val="007B51DB"/>
    <w:rsid w:val="007B676F"/>
    <w:rsid w:val="007C37FC"/>
    <w:rsid w:val="007C4839"/>
    <w:rsid w:val="007E5211"/>
    <w:rsid w:val="007F0B9B"/>
    <w:rsid w:val="007F6CA4"/>
    <w:rsid w:val="00843101"/>
    <w:rsid w:val="008468D4"/>
    <w:rsid w:val="008771F7"/>
    <w:rsid w:val="008A57DD"/>
    <w:rsid w:val="008C51A1"/>
    <w:rsid w:val="008C7E2C"/>
    <w:rsid w:val="008D262B"/>
    <w:rsid w:val="008D2AAC"/>
    <w:rsid w:val="008D5DBB"/>
    <w:rsid w:val="008E5FC2"/>
    <w:rsid w:val="008E6A06"/>
    <w:rsid w:val="008F5DE0"/>
    <w:rsid w:val="008F78B8"/>
    <w:rsid w:val="00900781"/>
    <w:rsid w:val="009447E6"/>
    <w:rsid w:val="009562F5"/>
    <w:rsid w:val="00966F10"/>
    <w:rsid w:val="00973093"/>
    <w:rsid w:val="00976826"/>
    <w:rsid w:val="00986275"/>
    <w:rsid w:val="009A02F5"/>
    <w:rsid w:val="009A38D1"/>
    <w:rsid w:val="009B5DB8"/>
    <w:rsid w:val="009B7CB8"/>
    <w:rsid w:val="00A01BFC"/>
    <w:rsid w:val="00A0412A"/>
    <w:rsid w:val="00A418CC"/>
    <w:rsid w:val="00A55188"/>
    <w:rsid w:val="00A67B47"/>
    <w:rsid w:val="00A827C2"/>
    <w:rsid w:val="00A86DC9"/>
    <w:rsid w:val="00A93236"/>
    <w:rsid w:val="00AA2400"/>
    <w:rsid w:val="00AA6930"/>
    <w:rsid w:val="00AC68A0"/>
    <w:rsid w:val="00AD0FB1"/>
    <w:rsid w:val="00AF4E54"/>
    <w:rsid w:val="00AF509C"/>
    <w:rsid w:val="00AF6A4A"/>
    <w:rsid w:val="00B27EEA"/>
    <w:rsid w:val="00B3366E"/>
    <w:rsid w:val="00B51389"/>
    <w:rsid w:val="00B53131"/>
    <w:rsid w:val="00B5791A"/>
    <w:rsid w:val="00B722BA"/>
    <w:rsid w:val="00B74CAF"/>
    <w:rsid w:val="00B82640"/>
    <w:rsid w:val="00B92FD5"/>
    <w:rsid w:val="00BD4020"/>
    <w:rsid w:val="00BD759B"/>
    <w:rsid w:val="00BE7D7B"/>
    <w:rsid w:val="00BF2D20"/>
    <w:rsid w:val="00C16CF2"/>
    <w:rsid w:val="00C56D64"/>
    <w:rsid w:val="00C65853"/>
    <w:rsid w:val="00C72ADE"/>
    <w:rsid w:val="00C74E32"/>
    <w:rsid w:val="00C84B56"/>
    <w:rsid w:val="00C91DC4"/>
    <w:rsid w:val="00C94CA4"/>
    <w:rsid w:val="00CA15C4"/>
    <w:rsid w:val="00CB2844"/>
    <w:rsid w:val="00CD791F"/>
    <w:rsid w:val="00D0373C"/>
    <w:rsid w:val="00D03BD1"/>
    <w:rsid w:val="00D11E5F"/>
    <w:rsid w:val="00D20274"/>
    <w:rsid w:val="00D21634"/>
    <w:rsid w:val="00D70CC0"/>
    <w:rsid w:val="00D874AA"/>
    <w:rsid w:val="00D87D5E"/>
    <w:rsid w:val="00DD4BDE"/>
    <w:rsid w:val="00DE5962"/>
    <w:rsid w:val="00DE6E7A"/>
    <w:rsid w:val="00DF16E5"/>
    <w:rsid w:val="00DF19C0"/>
    <w:rsid w:val="00DF2BE2"/>
    <w:rsid w:val="00E14512"/>
    <w:rsid w:val="00E22418"/>
    <w:rsid w:val="00E250A6"/>
    <w:rsid w:val="00E26FDE"/>
    <w:rsid w:val="00E34CB5"/>
    <w:rsid w:val="00E65852"/>
    <w:rsid w:val="00E77450"/>
    <w:rsid w:val="00E77B51"/>
    <w:rsid w:val="00EB4FE0"/>
    <w:rsid w:val="00ED6A0E"/>
    <w:rsid w:val="00EE7D12"/>
    <w:rsid w:val="00F13D90"/>
    <w:rsid w:val="00F14736"/>
    <w:rsid w:val="00F265B2"/>
    <w:rsid w:val="00F27220"/>
    <w:rsid w:val="00F839B8"/>
    <w:rsid w:val="00F914BE"/>
    <w:rsid w:val="00FA1A05"/>
    <w:rsid w:val="00FA34F9"/>
    <w:rsid w:val="00FC1A71"/>
    <w:rsid w:val="00FE4753"/>
    <w:rsid w:val="00FF3DCD"/>
    <w:rsid w:val="015A2F40"/>
    <w:rsid w:val="02753054"/>
    <w:rsid w:val="0350322F"/>
    <w:rsid w:val="038F17BE"/>
    <w:rsid w:val="04405195"/>
    <w:rsid w:val="045B6DEE"/>
    <w:rsid w:val="065D5D74"/>
    <w:rsid w:val="07B22E96"/>
    <w:rsid w:val="07BA194A"/>
    <w:rsid w:val="08187B51"/>
    <w:rsid w:val="085E6142"/>
    <w:rsid w:val="088D6B2B"/>
    <w:rsid w:val="08CB337C"/>
    <w:rsid w:val="08F73655"/>
    <w:rsid w:val="09012D6D"/>
    <w:rsid w:val="09452B9F"/>
    <w:rsid w:val="097474A3"/>
    <w:rsid w:val="0A0247B3"/>
    <w:rsid w:val="0A1A5A44"/>
    <w:rsid w:val="0A28300F"/>
    <w:rsid w:val="0A9315E8"/>
    <w:rsid w:val="0A9E321F"/>
    <w:rsid w:val="0B0E57F2"/>
    <w:rsid w:val="0B9347AA"/>
    <w:rsid w:val="0BE9326B"/>
    <w:rsid w:val="0C2368C5"/>
    <w:rsid w:val="0D2D66BD"/>
    <w:rsid w:val="0DB4241D"/>
    <w:rsid w:val="0E2A6ED8"/>
    <w:rsid w:val="0F09174F"/>
    <w:rsid w:val="0F5932FB"/>
    <w:rsid w:val="0F6E2269"/>
    <w:rsid w:val="0F7C6686"/>
    <w:rsid w:val="10102536"/>
    <w:rsid w:val="102F20B4"/>
    <w:rsid w:val="105076D1"/>
    <w:rsid w:val="11C62909"/>
    <w:rsid w:val="11E80DB7"/>
    <w:rsid w:val="11F14B89"/>
    <w:rsid w:val="12072AEF"/>
    <w:rsid w:val="120D23FC"/>
    <w:rsid w:val="14320055"/>
    <w:rsid w:val="147E0947"/>
    <w:rsid w:val="14FC4371"/>
    <w:rsid w:val="151334AC"/>
    <w:rsid w:val="16211545"/>
    <w:rsid w:val="16C638CC"/>
    <w:rsid w:val="17233D92"/>
    <w:rsid w:val="179949C7"/>
    <w:rsid w:val="17AC4FEA"/>
    <w:rsid w:val="17DB1AC5"/>
    <w:rsid w:val="185C0245"/>
    <w:rsid w:val="19597E00"/>
    <w:rsid w:val="19787CD6"/>
    <w:rsid w:val="19DB61FB"/>
    <w:rsid w:val="1A4B646B"/>
    <w:rsid w:val="1A6F6CD9"/>
    <w:rsid w:val="1B3F48FB"/>
    <w:rsid w:val="1BA66E34"/>
    <w:rsid w:val="1BB60BB0"/>
    <w:rsid w:val="1DDA2F4C"/>
    <w:rsid w:val="1E074F45"/>
    <w:rsid w:val="1E1F0C8B"/>
    <w:rsid w:val="1E54132A"/>
    <w:rsid w:val="1E69012F"/>
    <w:rsid w:val="1E9A54F1"/>
    <w:rsid w:val="1EB94C3A"/>
    <w:rsid w:val="1F4E0201"/>
    <w:rsid w:val="1FE056B1"/>
    <w:rsid w:val="20004870"/>
    <w:rsid w:val="20381CCE"/>
    <w:rsid w:val="21386271"/>
    <w:rsid w:val="21601DE6"/>
    <w:rsid w:val="22045743"/>
    <w:rsid w:val="229D2D19"/>
    <w:rsid w:val="22C96BE1"/>
    <w:rsid w:val="246F038F"/>
    <w:rsid w:val="24A156B2"/>
    <w:rsid w:val="24A56D22"/>
    <w:rsid w:val="2519583A"/>
    <w:rsid w:val="2563398E"/>
    <w:rsid w:val="25AA2F08"/>
    <w:rsid w:val="25D050E6"/>
    <w:rsid w:val="265A57BD"/>
    <w:rsid w:val="270A6BD2"/>
    <w:rsid w:val="276E51FA"/>
    <w:rsid w:val="283D195E"/>
    <w:rsid w:val="28623E29"/>
    <w:rsid w:val="286E6D24"/>
    <w:rsid w:val="28BD772A"/>
    <w:rsid w:val="290F3D52"/>
    <w:rsid w:val="294154DF"/>
    <w:rsid w:val="29D91BBF"/>
    <w:rsid w:val="2A5F68BC"/>
    <w:rsid w:val="2A976526"/>
    <w:rsid w:val="2B341BB4"/>
    <w:rsid w:val="2B38580C"/>
    <w:rsid w:val="2B553569"/>
    <w:rsid w:val="2C475230"/>
    <w:rsid w:val="2C491540"/>
    <w:rsid w:val="2D13764C"/>
    <w:rsid w:val="2DF061A4"/>
    <w:rsid w:val="2E694DDC"/>
    <w:rsid w:val="2F5F4E8E"/>
    <w:rsid w:val="2FB938C5"/>
    <w:rsid w:val="30564B7D"/>
    <w:rsid w:val="30870850"/>
    <w:rsid w:val="30DE278A"/>
    <w:rsid w:val="311F4736"/>
    <w:rsid w:val="333C3F01"/>
    <w:rsid w:val="335C51D2"/>
    <w:rsid w:val="33712AF3"/>
    <w:rsid w:val="33ED0A57"/>
    <w:rsid w:val="34B5048B"/>
    <w:rsid w:val="353C51CA"/>
    <w:rsid w:val="35A057E0"/>
    <w:rsid w:val="35A97038"/>
    <w:rsid w:val="36865266"/>
    <w:rsid w:val="36F04E07"/>
    <w:rsid w:val="36FC09EF"/>
    <w:rsid w:val="37EB1515"/>
    <w:rsid w:val="39AA29A3"/>
    <w:rsid w:val="39B95C51"/>
    <w:rsid w:val="39F30104"/>
    <w:rsid w:val="3A0B58CC"/>
    <w:rsid w:val="3A5A042C"/>
    <w:rsid w:val="3AB06D89"/>
    <w:rsid w:val="3AD17CDF"/>
    <w:rsid w:val="3B1C3FEB"/>
    <w:rsid w:val="3B2B4FCA"/>
    <w:rsid w:val="3B6F5B05"/>
    <w:rsid w:val="3B847D46"/>
    <w:rsid w:val="3CDD37F1"/>
    <w:rsid w:val="3D107052"/>
    <w:rsid w:val="3D1D4D80"/>
    <w:rsid w:val="3D316972"/>
    <w:rsid w:val="3E6E3FF7"/>
    <w:rsid w:val="3F3A6144"/>
    <w:rsid w:val="3F40022A"/>
    <w:rsid w:val="3F452843"/>
    <w:rsid w:val="4020053F"/>
    <w:rsid w:val="40472E72"/>
    <w:rsid w:val="40487F81"/>
    <w:rsid w:val="41276696"/>
    <w:rsid w:val="424F0356"/>
    <w:rsid w:val="42746F60"/>
    <w:rsid w:val="42962CA0"/>
    <w:rsid w:val="42B532B5"/>
    <w:rsid w:val="43220D02"/>
    <w:rsid w:val="43267E4C"/>
    <w:rsid w:val="438B040B"/>
    <w:rsid w:val="43C74E11"/>
    <w:rsid w:val="4456044A"/>
    <w:rsid w:val="449971D9"/>
    <w:rsid w:val="459E51A7"/>
    <w:rsid w:val="45D73C71"/>
    <w:rsid w:val="45D874AB"/>
    <w:rsid w:val="46FA2B07"/>
    <w:rsid w:val="47E85DAD"/>
    <w:rsid w:val="487A4438"/>
    <w:rsid w:val="48CD5210"/>
    <w:rsid w:val="490C6C25"/>
    <w:rsid w:val="49A53DF6"/>
    <w:rsid w:val="4A321CDA"/>
    <w:rsid w:val="4A6D669E"/>
    <w:rsid w:val="4B231236"/>
    <w:rsid w:val="4B670E76"/>
    <w:rsid w:val="4B7B1C3A"/>
    <w:rsid w:val="4B8815EC"/>
    <w:rsid w:val="4BA20DFA"/>
    <w:rsid w:val="4BD67445"/>
    <w:rsid w:val="4D643AC8"/>
    <w:rsid w:val="4E8561D6"/>
    <w:rsid w:val="4EB66128"/>
    <w:rsid w:val="4F29654A"/>
    <w:rsid w:val="50281313"/>
    <w:rsid w:val="509C2E61"/>
    <w:rsid w:val="50D61143"/>
    <w:rsid w:val="519A583F"/>
    <w:rsid w:val="519F63A1"/>
    <w:rsid w:val="51A87525"/>
    <w:rsid w:val="51B2472C"/>
    <w:rsid w:val="51C7014D"/>
    <w:rsid w:val="51EA251A"/>
    <w:rsid w:val="52D337F9"/>
    <w:rsid w:val="53B84A98"/>
    <w:rsid w:val="53E45BB7"/>
    <w:rsid w:val="54CD3BB2"/>
    <w:rsid w:val="54FC421F"/>
    <w:rsid w:val="554326FE"/>
    <w:rsid w:val="55AE2F82"/>
    <w:rsid w:val="55D1754B"/>
    <w:rsid w:val="570116BA"/>
    <w:rsid w:val="571F606F"/>
    <w:rsid w:val="57535D39"/>
    <w:rsid w:val="58F9493D"/>
    <w:rsid w:val="594B3DC5"/>
    <w:rsid w:val="59500BBE"/>
    <w:rsid w:val="596040F3"/>
    <w:rsid w:val="59E44D56"/>
    <w:rsid w:val="5B362364"/>
    <w:rsid w:val="5B661715"/>
    <w:rsid w:val="5B845B57"/>
    <w:rsid w:val="5C363E17"/>
    <w:rsid w:val="5C760281"/>
    <w:rsid w:val="5CEB53B0"/>
    <w:rsid w:val="5D084358"/>
    <w:rsid w:val="5D597E8D"/>
    <w:rsid w:val="5D7459D7"/>
    <w:rsid w:val="5D76690E"/>
    <w:rsid w:val="5F234C10"/>
    <w:rsid w:val="607950BF"/>
    <w:rsid w:val="61776364"/>
    <w:rsid w:val="618D3D21"/>
    <w:rsid w:val="62991108"/>
    <w:rsid w:val="62CB07E9"/>
    <w:rsid w:val="63375636"/>
    <w:rsid w:val="64B76976"/>
    <w:rsid w:val="65F05437"/>
    <w:rsid w:val="662435D2"/>
    <w:rsid w:val="665A2854"/>
    <w:rsid w:val="66F81C3E"/>
    <w:rsid w:val="66FF7257"/>
    <w:rsid w:val="67A46F75"/>
    <w:rsid w:val="67C51412"/>
    <w:rsid w:val="684653E5"/>
    <w:rsid w:val="68BE625F"/>
    <w:rsid w:val="69267580"/>
    <w:rsid w:val="69C22BA0"/>
    <w:rsid w:val="69E75DD0"/>
    <w:rsid w:val="6A69076C"/>
    <w:rsid w:val="6A6D3EC8"/>
    <w:rsid w:val="6A8D05BF"/>
    <w:rsid w:val="6AFB6B27"/>
    <w:rsid w:val="6B6E44B5"/>
    <w:rsid w:val="6C683B70"/>
    <w:rsid w:val="6CBB061A"/>
    <w:rsid w:val="6CE85C71"/>
    <w:rsid w:val="6D39116F"/>
    <w:rsid w:val="6DB90CED"/>
    <w:rsid w:val="6E191EE3"/>
    <w:rsid w:val="6E786B30"/>
    <w:rsid w:val="6E7878E9"/>
    <w:rsid w:val="6F501420"/>
    <w:rsid w:val="6F8D0DA1"/>
    <w:rsid w:val="6FE2686C"/>
    <w:rsid w:val="6FFC499E"/>
    <w:rsid w:val="70FC3EE6"/>
    <w:rsid w:val="7104448D"/>
    <w:rsid w:val="710E52AC"/>
    <w:rsid w:val="719527FF"/>
    <w:rsid w:val="724E2BF8"/>
    <w:rsid w:val="72883A75"/>
    <w:rsid w:val="74A62DA8"/>
    <w:rsid w:val="74D52FEB"/>
    <w:rsid w:val="759501AB"/>
    <w:rsid w:val="75AC47D4"/>
    <w:rsid w:val="75E52019"/>
    <w:rsid w:val="7651438F"/>
    <w:rsid w:val="76680A87"/>
    <w:rsid w:val="771B2281"/>
    <w:rsid w:val="771C6CE6"/>
    <w:rsid w:val="773B7262"/>
    <w:rsid w:val="783F2DD8"/>
    <w:rsid w:val="784755BE"/>
    <w:rsid w:val="788C177D"/>
    <w:rsid w:val="78A140BF"/>
    <w:rsid w:val="78A41F54"/>
    <w:rsid w:val="792D79FC"/>
    <w:rsid w:val="7A7A15CF"/>
    <w:rsid w:val="7A7C0637"/>
    <w:rsid w:val="7A8B29E6"/>
    <w:rsid w:val="7B396E61"/>
    <w:rsid w:val="7C055C9C"/>
    <w:rsid w:val="7D0A5C91"/>
    <w:rsid w:val="7D641FBE"/>
    <w:rsid w:val="7E3D6A7E"/>
    <w:rsid w:val="7EB52D47"/>
    <w:rsid w:val="7EB77437"/>
    <w:rsid w:val="7F2251E7"/>
    <w:rsid w:val="7F7745F1"/>
    <w:rsid w:val="7FBF44AB"/>
    <w:rsid w:val="7FC17F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67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uiPriority="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595"/>
    <w:pPr>
      <w:widowControl w:val="0"/>
      <w:jc w:val="both"/>
    </w:pPr>
    <w:rPr>
      <w:rFonts w:ascii="Times New Roman" w:hAnsi="Times New Roman"/>
      <w:kern w:val="2"/>
      <w:sz w:val="21"/>
      <w:szCs w:val="24"/>
    </w:rPr>
  </w:style>
  <w:style w:type="paragraph" w:styleId="1">
    <w:name w:val="heading 1"/>
    <w:basedOn w:val="a"/>
    <w:next w:val="a"/>
    <w:link w:val="1Char"/>
    <w:autoRedefine/>
    <w:uiPriority w:val="9"/>
    <w:qFormat/>
    <w:rsid w:val="00533398"/>
    <w:pPr>
      <w:spacing w:line="576" w:lineRule="exact"/>
      <w:ind w:firstLineChars="200" w:firstLine="200"/>
      <w:jc w:val="center"/>
      <w:outlineLvl w:val="0"/>
    </w:pPr>
    <w:rPr>
      <w:rFonts w:asciiTheme="minorHAnsi" w:eastAsia="方正小标宋简体" w:hAnsiTheme="minorHAnsi" w:cstheme="minorBidi"/>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F159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F1595"/>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4F1595"/>
    <w:rPr>
      <w:rFonts w:cs="Times New Roman"/>
    </w:rPr>
  </w:style>
  <w:style w:type="character" w:customStyle="1" w:styleId="Char">
    <w:name w:val="页脚 Char"/>
    <w:basedOn w:val="a0"/>
    <w:link w:val="a3"/>
    <w:uiPriority w:val="99"/>
    <w:qFormat/>
    <w:rsid w:val="004F1595"/>
    <w:rPr>
      <w:rFonts w:ascii="Times New Roman" w:eastAsia="宋体" w:hAnsi="Times New Roman" w:cs="Times New Roman"/>
      <w:sz w:val="18"/>
      <w:szCs w:val="18"/>
    </w:rPr>
  </w:style>
  <w:style w:type="character" w:customStyle="1" w:styleId="Char0">
    <w:name w:val="页眉 Char"/>
    <w:basedOn w:val="a0"/>
    <w:link w:val="a4"/>
    <w:uiPriority w:val="99"/>
    <w:semiHidden/>
    <w:qFormat/>
    <w:rsid w:val="004F1595"/>
    <w:rPr>
      <w:rFonts w:ascii="Times New Roman" w:eastAsia="宋体" w:hAnsi="Times New Roman" w:cs="Times New Roman"/>
      <w:kern w:val="2"/>
      <w:sz w:val="18"/>
      <w:szCs w:val="18"/>
    </w:rPr>
  </w:style>
  <w:style w:type="paragraph" w:styleId="a6">
    <w:name w:val="No Spacing"/>
    <w:uiPriority w:val="1"/>
    <w:qFormat/>
    <w:rsid w:val="004F1595"/>
    <w:pPr>
      <w:widowControl w:val="0"/>
      <w:jc w:val="both"/>
    </w:pPr>
    <w:rPr>
      <w:kern w:val="2"/>
      <w:sz w:val="21"/>
      <w:szCs w:val="22"/>
    </w:rPr>
  </w:style>
  <w:style w:type="paragraph" w:styleId="HTML">
    <w:name w:val="HTML Preformatted"/>
    <w:basedOn w:val="a"/>
    <w:link w:val="HTMLChar"/>
    <w:semiHidden/>
    <w:unhideWhenUsed/>
    <w:rsid w:val="00B336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仿宋_GB2312" w:hAnsi="Arial" w:cs="Arial"/>
      <w:kern w:val="0"/>
      <w:sz w:val="32"/>
      <w:szCs w:val="32"/>
    </w:rPr>
  </w:style>
  <w:style w:type="character" w:customStyle="1" w:styleId="HTMLChar">
    <w:name w:val="HTML 预设格式 Char"/>
    <w:basedOn w:val="a0"/>
    <w:link w:val="HTML"/>
    <w:semiHidden/>
    <w:rsid w:val="00B3366E"/>
    <w:rPr>
      <w:rFonts w:ascii="Arial" w:eastAsia="仿宋_GB2312" w:hAnsi="Arial" w:cs="Arial"/>
      <w:sz w:val="32"/>
      <w:szCs w:val="32"/>
    </w:rPr>
  </w:style>
  <w:style w:type="paragraph" w:styleId="a7">
    <w:name w:val="List Paragraph"/>
    <w:basedOn w:val="a"/>
    <w:uiPriority w:val="34"/>
    <w:qFormat/>
    <w:rsid w:val="00391A3B"/>
    <w:pPr>
      <w:ind w:firstLineChars="200" w:firstLine="420"/>
    </w:pPr>
    <w:rPr>
      <w:rFonts w:asciiTheme="minorHAnsi" w:eastAsiaTheme="minorEastAsia" w:hAnsiTheme="minorHAnsi" w:cstheme="minorBidi"/>
      <w:szCs w:val="22"/>
    </w:rPr>
  </w:style>
  <w:style w:type="paragraph" w:customStyle="1" w:styleId="pa-1">
    <w:name w:val="pa-1"/>
    <w:basedOn w:val="a"/>
    <w:rsid w:val="006026C2"/>
    <w:pPr>
      <w:widowControl/>
      <w:spacing w:before="150" w:after="150"/>
      <w:jc w:val="left"/>
    </w:pPr>
    <w:rPr>
      <w:rFonts w:ascii="宋体" w:hAnsi="宋体" w:cs="宋体"/>
      <w:kern w:val="0"/>
      <w:sz w:val="24"/>
    </w:rPr>
  </w:style>
  <w:style w:type="paragraph" w:styleId="a8">
    <w:name w:val="Plain Text"/>
    <w:basedOn w:val="a"/>
    <w:link w:val="Char1"/>
    <w:qFormat/>
    <w:rsid w:val="00127372"/>
    <w:rPr>
      <w:rFonts w:ascii="宋体" w:hAnsi="Courier New" w:cs="Courier New"/>
      <w:szCs w:val="21"/>
    </w:rPr>
  </w:style>
  <w:style w:type="character" w:customStyle="1" w:styleId="Char1">
    <w:name w:val="纯文本 Char"/>
    <w:basedOn w:val="a0"/>
    <w:link w:val="a8"/>
    <w:qFormat/>
    <w:rsid w:val="00127372"/>
    <w:rPr>
      <w:rFonts w:ascii="宋体" w:hAnsi="Courier New" w:cs="Courier New"/>
      <w:kern w:val="2"/>
      <w:sz w:val="21"/>
      <w:szCs w:val="21"/>
    </w:rPr>
  </w:style>
  <w:style w:type="paragraph" w:styleId="a9">
    <w:name w:val="Date"/>
    <w:basedOn w:val="a"/>
    <w:next w:val="a"/>
    <w:link w:val="Char2"/>
    <w:uiPriority w:val="99"/>
    <w:semiHidden/>
    <w:unhideWhenUsed/>
    <w:rsid w:val="00780CE3"/>
    <w:pPr>
      <w:ind w:leftChars="2500" w:left="100"/>
    </w:pPr>
  </w:style>
  <w:style w:type="character" w:customStyle="1" w:styleId="Char2">
    <w:name w:val="日期 Char"/>
    <w:basedOn w:val="a0"/>
    <w:link w:val="a9"/>
    <w:uiPriority w:val="99"/>
    <w:semiHidden/>
    <w:rsid w:val="00780CE3"/>
    <w:rPr>
      <w:rFonts w:ascii="Times New Roman" w:hAnsi="Times New Roman"/>
      <w:kern w:val="2"/>
      <w:sz w:val="21"/>
      <w:szCs w:val="24"/>
    </w:rPr>
  </w:style>
  <w:style w:type="character" w:customStyle="1" w:styleId="1Char">
    <w:name w:val="标题 1 Char"/>
    <w:basedOn w:val="a0"/>
    <w:link w:val="1"/>
    <w:uiPriority w:val="9"/>
    <w:rsid w:val="00533398"/>
    <w:rPr>
      <w:rFonts w:asciiTheme="minorHAnsi" w:eastAsia="方正小标宋简体" w:hAnsiTheme="minorHAnsi" w:cstheme="minorBidi"/>
      <w:bCs/>
      <w:kern w:val="44"/>
      <w:sz w:val="44"/>
      <w:szCs w:val="44"/>
    </w:rPr>
  </w:style>
  <w:style w:type="paragraph" w:styleId="3">
    <w:name w:val="toc 3"/>
    <w:basedOn w:val="a"/>
    <w:next w:val="a"/>
    <w:uiPriority w:val="39"/>
    <w:unhideWhenUsed/>
    <w:qFormat/>
    <w:rsid w:val="00C72ADE"/>
    <w:pPr>
      <w:tabs>
        <w:tab w:val="right" w:leader="dot" w:pos="8296"/>
      </w:tabs>
      <w:ind w:leftChars="400" w:left="840"/>
    </w:pPr>
  </w:style>
  <w:style w:type="paragraph" w:styleId="10">
    <w:name w:val="toc 1"/>
    <w:basedOn w:val="a"/>
    <w:next w:val="a"/>
    <w:uiPriority w:val="39"/>
    <w:unhideWhenUsed/>
    <w:qFormat/>
    <w:rsid w:val="00C72ADE"/>
    <w:pPr>
      <w:tabs>
        <w:tab w:val="right" w:leader="dot" w:pos="8296"/>
      </w:tabs>
      <w:spacing w:before="93"/>
      <w:jc w:val="center"/>
    </w:pPr>
    <w:rPr>
      <w:rFonts w:ascii="仿宋" w:eastAsia="仿宋" w:hAnsi="仿宋"/>
      <w:sz w:val="28"/>
      <w:szCs w:val="28"/>
    </w:rPr>
  </w:style>
  <w:style w:type="paragraph" w:styleId="2">
    <w:name w:val="toc 2"/>
    <w:basedOn w:val="a"/>
    <w:next w:val="a"/>
    <w:uiPriority w:val="39"/>
    <w:unhideWhenUsed/>
    <w:qFormat/>
    <w:rsid w:val="00C72ADE"/>
    <w:pPr>
      <w:tabs>
        <w:tab w:val="right" w:leader="dot" w:pos="8296"/>
      </w:tabs>
      <w:ind w:leftChars="200" w:left="420"/>
    </w:pPr>
  </w:style>
</w:styles>
</file>

<file path=word/webSettings.xml><?xml version="1.0" encoding="utf-8"?>
<w:webSettings xmlns:r="http://schemas.openxmlformats.org/officeDocument/2006/relationships" xmlns:w="http://schemas.openxmlformats.org/wordprocessingml/2006/main">
  <w:divs>
    <w:div w:id="165247863">
      <w:bodyDiv w:val="1"/>
      <w:marLeft w:val="0"/>
      <w:marRight w:val="0"/>
      <w:marTop w:val="0"/>
      <w:marBottom w:val="0"/>
      <w:divBdr>
        <w:top w:val="none" w:sz="0" w:space="0" w:color="auto"/>
        <w:left w:val="none" w:sz="0" w:space="0" w:color="auto"/>
        <w:bottom w:val="none" w:sz="0" w:space="0" w:color="auto"/>
        <w:right w:val="none" w:sz="0" w:space="0" w:color="auto"/>
      </w:divBdr>
    </w:div>
    <w:div w:id="1714496471">
      <w:bodyDiv w:val="1"/>
      <w:marLeft w:val="0"/>
      <w:marRight w:val="0"/>
      <w:marTop w:val="0"/>
      <w:marBottom w:val="0"/>
      <w:divBdr>
        <w:top w:val="none" w:sz="0" w:space="0" w:color="auto"/>
        <w:left w:val="none" w:sz="0" w:space="0" w:color="auto"/>
        <w:bottom w:val="none" w:sz="0" w:space="0" w:color="auto"/>
        <w:right w:val="none" w:sz="0" w:space="0" w:color="auto"/>
      </w:divBdr>
    </w:div>
    <w:div w:id="1908414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1287</Words>
  <Characters>7340</Characters>
  <Application>Microsoft Office Word</Application>
  <DocSecurity>0</DocSecurity>
  <Lines>61</Lines>
  <Paragraphs>17</Paragraphs>
  <ScaleCrop>false</ScaleCrop>
  <Company>Sky123.Org</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综合科:李欣泽</cp:lastModifiedBy>
  <cp:revision>4</cp:revision>
  <cp:lastPrinted>2020-09-22T07:08:00Z</cp:lastPrinted>
  <dcterms:created xsi:type="dcterms:W3CDTF">2020-09-28T03:31:00Z</dcterms:created>
  <dcterms:modified xsi:type="dcterms:W3CDTF">2020-09-28T03:42:00Z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